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BE376" w14:textId="520039DF" w:rsidR="00807588" w:rsidRDefault="00807588" w:rsidP="00A21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results</w:t>
      </w:r>
    </w:p>
    <w:p w14:paraId="18639928" w14:textId="4F529D43" w:rsidR="00807588" w:rsidRPr="00982A81" w:rsidRDefault="00B7497B" w:rsidP="00807588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Co-occurrence </w:t>
      </w:r>
      <w:r w:rsidR="00982A81" w:rsidRPr="00982A81">
        <w:rPr>
          <w:rFonts w:ascii="Times New Roman" w:hAnsi="Times New Roman" w:cs="Times New Roman"/>
          <w:b/>
          <w:i/>
          <w:sz w:val="24"/>
        </w:rPr>
        <w:t>Network properties</w:t>
      </w:r>
      <w:r>
        <w:rPr>
          <w:rFonts w:ascii="Times New Roman" w:hAnsi="Times New Roman" w:cs="Times New Roman"/>
          <w:b/>
          <w:i/>
          <w:sz w:val="24"/>
        </w:rPr>
        <w:t>, null model analyses and subnetworks</w:t>
      </w:r>
    </w:p>
    <w:p w14:paraId="4070C00B" w14:textId="501F2FF3" w:rsidR="00807588" w:rsidRPr="00807588" w:rsidRDefault="00807588" w:rsidP="0080758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807588">
        <w:rPr>
          <w:rFonts w:ascii="Times New Roman" w:hAnsi="Times New Roman" w:cs="Times New Roman"/>
          <w:sz w:val="24"/>
        </w:rPr>
        <w:t xml:space="preserve">A total of 3,802 OTUs were selected for network construction for their presenting in 11 or more samples. A minimum threshold of ρ=0.74 was determined for co-occurrence network construction by the RMT algorithm. </w:t>
      </w:r>
      <w:bookmarkStart w:id="0" w:name="_Hlk528418351"/>
      <w:r w:rsidRPr="00807588">
        <w:rPr>
          <w:rFonts w:ascii="Times New Roman" w:hAnsi="Times New Roman" w:cs="Times New Roman"/>
          <w:sz w:val="24"/>
        </w:rPr>
        <w:t xml:space="preserve">The inferred consensus network consisted of 1,251 OTUs, including 1,065 16S OTUs, 127 </w:t>
      </w:r>
      <w:proofErr w:type="spellStart"/>
      <w:r w:rsidRPr="00807588">
        <w:rPr>
          <w:rFonts w:ascii="Times New Roman" w:hAnsi="Times New Roman" w:cs="Times New Roman"/>
          <w:i/>
          <w:sz w:val="24"/>
        </w:rPr>
        <w:t>nifH</w:t>
      </w:r>
      <w:proofErr w:type="spellEnd"/>
      <w:r w:rsidRPr="00807588">
        <w:rPr>
          <w:rFonts w:ascii="Times New Roman" w:hAnsi="Times New Roman" w:cs="Times New Roman"/>
          <w:sz w:val="24"/>
        </w:rPr>
        <w:t xml:space="preserve"> OTUs and 59 ITS OTUs. The degree distribution of the constructed network was well fit by a power law model (</w:t>
      </w:r>
      <w:r w:rsidRPr="00807588">
        <w:rPr>
          <w:rFonts w:ascii="Times New Roman" w:hAnsi="Times New Roman" w:cs="Times New Roman"/>
          <w:i/>
          <w:sz w:val="24"/>
        </w:rPr>
        <w:t>y</w:t>
      </w:r>
      <w:r w:rsidRPr="00807588">
        <w:rPr>
          <w:rFonts w:ascii="Times New Roman" w:hAnsi="Times New Roman" w:cs="Times New Roman"/>
          <w:sz w:val="24"/>
        </w:rPr>
        <w:t xml:space="preserve"> = 1202</w:t>
      </w:r>
      <w:r w:rsidRPr="00807588">
        <w:rPr>
          <w:rFonts w:ascii="Times New Roman" w:hAnsi="Times New Roman" w:cs="Times New Roman"/>
          <w:i/>
          <w:sz w:val="24"/>
        </w:rPr>
        <w:t>x</w:t>
      </w:r>
      <w:r w:rsidRPr="00807588">
        <w:rPr>
          <w:rFonts w:ascii="Times New Roman" w:hAnsi="Times New Roman" w:cs="Times New Roman"/>
          <w:sz w:val="24"/>
          <w:vertAlign w:val="superscript"/>
        </w:rPr>
        <w:t>-1.702</w:t>
      </w:r>
      <w:r w:rsidRPr="00807588">
        <w:rPr>
          <w:rFonts w:ascii="Times New Roman" w:hAnsi="Times New Roman" w:cs="Times New Roman"/>
          <w:sz w:val="24"/>
        </w:rPr>
        <w:t>, R</w:t>
      </w:r>
      <w:r w:rsidRPr="00807588">
        <w:rPr>
          <w:rFonts w:ascii="Times New Roman" w:hAnsi="Times New Roman" w:cs="Times New Roman"/>
          <w:sz w:val="24"/>
          <w:vertAlign w:val="superscript"/>
        </w:rPr>
        <w:t>2</w:t>
      </w:r>
      <w:r w:rsidRPr="00807588">
        <w:rPr>
          <w:rFonts w:ascii="Times New Roman" w:hAnsi="Times New Roman" w:cs="Times New Roman"/>
          <w:sz w:val="24"/>
        </w:rPr>
        <w:t xml:space="preserve"> = 0.894, where </w:t>
      </w:r>
      <w:r w:rsidRPr="00807588">
        <w:rPr>
          <w:rFonts w:ascii="Times New Roman" w:hAnsi="Times New Roman" w:cs="Times New Roman"/>
          <w:i/>
          <w:sz w:val="24"/>
        </w:rPr>
        <w:t>y</w:t>
      </w:r>
      <w:r w:rsidRPr="00807588">
        <w:rPr>
          <w:rFonts w:ascii="Times New Roman" w:hAnsi="Times New Roman" w:cs="Times New Roman"/>
          <w:sz w:val="24"/>
        </w:rPr>
        <w:t xml:space="preserve"> is the number of nodes with </w:t>
      </w:r>
      <w:r w:rsidRPr="00807588">
        <w:rPr>
          <w:rFonts w:ascii="Times New Roman" w:hAnsi="Times New Roman" w:cs="Times New Roman"/>
          <w:i/>
          <w:sz w:val="24"/>
        </w:rPr>
        <w:t>x</w:t>
      </w:r>
      <w:r w:rsidRPr="00807588">
        <w:rPr>
          <w:rFonts w:ascii="Times New Roman" w:hAnsi="Times New Roman" w:cs="Times New Roman"/>
          <w:sz w:val="24"/>
        </w:rPr>
        <w:t xml:space="preserve"> connectivity), suggesting that the microbial co-occurrence network exhibited scale-free behavior. A total of 76 modules could be found by the greedy modularity optimization algorithm with modularity of 0.848. Among these, 21 modules were composed of 5 or more nodes. To evaluate whether the constructed consensus co-occurrence network was significantly different from random networks, a one-sample t-test was performed to statistically examine the differences between experimental network properties and null models. All parameters analyzed were significantly different (</w:t>
      </w:r>
      <w:r w:rsidRPr="00807588">
        <w:rPr>
          <w:rFonts w:ascii="Times New Roman" w:hAnsi="Times New Roman" w:cs="Times New Roman"/>
          <w:i/>
          <w:sz w:val="24"/>
        </w:rPr>
        <w:t>P</w:t>
      </w:r>
      <w:r w:rsidRPr="00807588">
        <w:rPr>
          <w:rFonts w:ascii="Times New Roman" w:hAnsi="Times New Roman" w:cs="Times New Roman"/>
          <w:sz w:val="24"/>
        </w:rPr>
        <w:t xml:space="preserve"> &lt; 0.0001), including average clustering coefficient (0.415 vs. 0.018</w:t>
      </w:r>
      <w:r w:rsidRPr="00807588">
        <w:rPr>
          <w:rFonts w:ascii="SimSun" w:eastAsia="SimSun" w:hAnsi="SimSun" w:cs="Times New Roman" w:hint="eastAsia"/>
          <w:sz w:val="24"/>
        </w:rPr>
        <w:t>±</w:t>
      </w:r>
      <w:r w:rsidRPr="00807588">
        <w:rPr>
          <w:rFonts w:ascii="Times New Roman" w:hAnsi="Times New Roman" w:cs="Times New Roman"/>
          <w:sz w:val="24"/>
        </w:rPr>
        <w:t>0.002), average geodesic distance (8.571 vs. 3.</w:t>
      </w:r>
      <w:r w:rsidR="00463FF3">
        <w:rPr>
          <w:rFonts w:ascii="Times New Roman" w:hAnsi="Times New Roman" w:cs="Times New Roman" w:hint="eastAsia"/>
          <w:sz w:val="24"/>
        </w:rPr>
        <w:t>655</w:t>
      </w:r>
      <w:r w:rsidRPr="00807588">
        <w:rPr>
          <w:rFonts w:ascii="SimSun" w:eastAsia="SimSun" w:hAnsi="SimSun" w:cs="Times New Roman" w:hint="eastAsia"/>
          <w:sz w:val="24"/>
        </w:rPr>
        <w:t>±</w:t>
      </w:r>
      <w:r w:rsidRPr="00807588">
        <w:rPr>
          <w:rFonts w:ascii="Times New Roman" w:hAnsi="Times New Roman" w:cs="Times New Roman"/>
          <w:sz w:val="24"/>
        </w:rPr>
        <w:t>0.</w:t>
      </w:r>
      <w:r w:rsidR="00463FF3">
        <w:rPr>
          <w:rFonts w:ascii="Times New Roman" w:hAnsi="Times New Roman" w:cs="Times New Roman" w:hint="eastAsia"/>
          <w:sz w:val="24"/>
        </w:rPr>
        <w:t>041</w:t>
      </w:r>
      <w:r w:rsidRPr="00807588">
        <w:rPr>
          <w:rFonts w:ascii="Times New Roman" w:hAnsi="Times New Roman" w:cs="Times New Roman"/>
          <w:sz w:val="24"/>
        </w:rPr>
        <w:t>), centralization of betweenness (0.133 vs. 0.04</w:t>
      </w:r>
      <w:r w:rsidR="00463FF3">
        <w:rPr>
          <w:rFonts w:ascii="Times New Roman" w:hAnsi="Times New Roman" w:cs="Times New Roman" w:hint="eastAsia"/>
          <w:sz w:val="24"/>
        </w:rPr>
        <w:t>2</w:t>
      </w:r>
      <w:r w:rsidRPr="00807588">
        <w:rPr>
          <w:rFonts w:ascii="SimSun" w:eastAsia="SimSun" w:hAnsi="SimSun" w:cs="Times New Roman" w:hint="eastAsia"/>
          <w:sz w:val="24"/>
        </w:rPr>
        <w:t>±</w:t>
      </w:r>
      <w:r w:rsidRPr="00807588">
        <w:rPr>
          <w:rFonts w:ascii="Times New Roman" w:hAnsi="Times New Roman" w:cs="Times New Roman"/>
          <w:sz w:val="24"/>
        </w:rPr>
        <w:t>0.00</w:t>
      </w:r>
      <w:r w:rsidR="00463FF3">
        <w:rPr>
          <w:rFonts w:ascii="Times New Roman" w:hAnsi="Times New Roman" w:cs="Times New Roman" w:hint="eastAsia"/>
          <w:sz w:val="24"/>
        </w:rPr>
        <w:t>3</w:t>
      </w:r>
      <w:r w:rsidRPr="00807588">
        <w:rPr>
          <w:rFonts w:ascii="Times New Roman" w:hAnsi="Times New Roman" w:cs="Times New Roman"/>
          <w:sz w:val="24"/>
        </w:rPr>
        <w:t>), and modularity (0.848 vs. 0.350</w:t>
      </w:r>
      <w:r w:rsidRPr="00807588">
        <w:rPr>
          <w:rFonts w:ascii="SimSun" w:eastAsia="SimSun" w:hAnsi="SimSun" w:cs="Times New Roman" w:hint="eastAsia"/>
          <w:sz w:val="24"/>
        </w:rPr>
        <w:t>±</w:t>
      </w:r>
      <w:r w:rsidRPr="00807588">
        <w:rPr>
          <w:rFonts w:ascii="Times New Roman" w:hAnsi="Times New Roman" w:cs="Times New Roman"/>
          <w:sz w:val="24"/>
        </w:rPr>
        <w:t xml:space="preserve">0.003). This suggested that the constructed microbial co-occurrence network followed basic social network behaviors such as scale-free, small-world and modular, and was significantly different from random networks. </w:t>
      </w:r>
    </w:p>
    <w:bookmarkEnd w:id="0"/>
    <w:p w14:paraId="6DB8FFC5" w14:textId="27C49772" w:rsidR="00807588" w:rsidRPr="00807588" w:rsidRDefault="00807588" w:rsidP="0080758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807588">
        <w:rPr>
          <w:rFonts w:ascii="Times New Roman" w:hAnsi="Times New Roman" w:cs="Times New Roman"/>
          <w:sz w:val="24"/>
        </w:rPr>
        <w:tab/>
        <w:t xml:space="preserve">A total of 4,922 co-occurrence relationships were inferred for the consensus microbial network (Fig. 1A). Co-occurrence patterns were dominated by Proteobacteria (34.7%), </w:t>
      </w:r>
      <w:proofErr w:type="spellStart"/>
      <w:r w:rsidRPr="00807588">
        <w:rPr>
          <w:rFonts w:ascii="Times New Roman" w:hAnsi="Times New Roman" w:cs="Times New Roman"/>
          <w:sz w:val="24"/>
        </w:rPr>
        <w:t>Acidobacteria</w:t>
      </w:r>
      <w:proofErr w:type="spellEnd"/>
      <w:r w:rsidRPr="00807588">
        <w:rPr>
          <w:rFonts w:ascii="Times New Roman" w:hAnsi="Times New Roman" w:cs="Times New Roman"/>
          <w:sz w:val="24"/>
        </w:rPr>
        <w:t xml:space="preserve"> (23.8%), Actinobacteria (11.5%), </w:t>
      </w:r>
      <w:proofErr w:type="spellStart"/>
      <w:r w:rsidRPr="00807588">
        <w:rPr>
          <w:rFonts w:ascii="Times New Roman" w:hAnsi="Times New Roman" w:cs="Times New Roman"/>
          <w:sz w:val="24"/>
        </w:rPr>
        <w:t>Verrucomicrobia</w:t>
      </w:r>
      <w:proofErr w:type="spellEnd"/>
      <w:r w:rsidRPr="00807588">
        <w:rPr>
          <w:rFonts w:ascii="Times New Roman" w:hAnsi="Times New Roman" w:cs="Times New Roman"/>
          <w:sz w:val="24"/>
        </w:rPr>
        <w:t xml:space="preserve"> (9.3%), Planctomycetes (5.2%), Bacteroidetes (5.0%), and Ascomycota (3.3%)</w:t>
      </w:r>
      <w:r w:rsidR="000975AE">
        <w:rPr>
          <w:rFonts w:ascii="Times New Roman" w:hAnsi="Times New Roman" w:cs="Times New Roman"/>
          <w:sz w:val="24"/>
        </w:rPr>
        <w:t xml:space="preserve"> when viewed by nodes</w:t>
      </w:r>
      <w:r w:rsidRPr="00807588">
        <w:rPr>
          <w:rFonts w:ascii="Times New Roman" w:hAnsi="Times New Roman" w:cs="Times New Roman"/>
          <w:sz w:val="24"/>
        </w:rPr>
        <w:t xml:space="preserve">. We also </w:t>
      </w:r>
      <w:r w:rsidRPr="00807588">
        <w:rPr>
          <w:rFonts w:ascii="Times New Roman" w:hAnsi="Times New Roman" w:cs="Times New Roman"/>
          <w:sz w:val="24"/>
        </w:rPr>
        <w:lastRenderedPageBreak/>
        <w:t xml:space="preserve">examined the sub-network representing </w:t>
      </w:r>
      <w:bookmarkStart w:id="1" w:name="OLE_LINK8"/>
      <w:bookmarkStart w:id="2" w:name="OLE_LINK36"/>
      <w:r w:rsidRPr="00807588">
        <w:rPr>
          <w:rFonts w:ascii="Times New Roman" w:hAnsi="Times New Roman" w:cs="Times New Roman"/>
          <w:sz w:val="24"/>
        </w:rPr>
        <w:t xml:space="preserve">diazotrophic-microbial </w:t>
      </w:r>
      <w:bookmarkEnd w:id="1"/>
      <w:bookmarkEnd w:id="2"/>
      <w:r w:rsidRPr="00807588">
        <w:rPr>
          <w:rFonts w:ascii="Times New Roman" w:hAnsi="Times New Roman" w:cs="Times New Roman"/>
          <w:sz w:val="24"/>
        </w:rPr>
        <w:t xml:space="preserve">and </w:t>
      </w:r>
      <w:bookmarkStart w:id="3" w:name="OLE_LINK51"/>
      <w:bookmarkStart w:id="4" w:name="OLE_LINK52"/>
      <w:bookmarkStart w:id="5" w:name="OLE_LINK53"/>
      <w:r w:rsidRPr="00807588">
        <w:rPr>
          <w:rFonts w:ascii="Times New Roman" w:hAnsi="Times New Roman" w:cs="Times New Roman"/>
          <w:sz w:val="24"/>
        </w:rPr>
        <w:t xml:space="preserve">fungal-microbial </w:t>
      </w:r>
      <w:bookmarkEnd w:id="3"/>
      <w:bookmarkEnd w:id="4"/>
      <w:bookmarkEnd w:id="5"/>
      <w:r w:rsidRPr="00807588">
        <w:rPr>
          <w:rFonts w:ascii="Times New Roman" w:hAnsi="Times New Roman" w:cs="Times New Roman"/>
          <w:sz w:val="24"/>
        </w:rPr>
        <w:t xml:space="preserve">co-occurrence patterns by extracting the first neighbor nodes of </w:t>
      </w:r>
      <w:proofErr w:type="spellStart"/>
      <w:r w:rsidRPr="00807588">
        <w:rPr>
          <w:rFonts w:ascii="Times New Roman" w:hAnsi="Times New Roman" w:cs="Times New Roman"/>
          <w:sz w:val="24"/>
        </w:rPr>
        <w:t>nifH</w:t>
      </w:r>
      <w:proofErr w:type="spellEnd"/>
      <w:r w:rsidRPr="00807588">
        <w:rPr>
          <w:rFonts w:ascii="Times New Roman" w:hAnsi="Times New Roman" w:cs="Times New Roman"/>
          <w:sz w:val="24"/>
        </w:rPr>
        <w:t xml:space="preserve"> and ITS OTUs, respectively. The diazotrophic-microbial network was mainly centered by </w:t>
      </w:r>
      <w:proofErr w:type="spellStart"/>
      <w:r w:rsidRPr="00807588">
        <w:rPr>
          <w:rFonts w:ascii="Times New Roman" w:hAnsi="Times New Roman" w:cs="Times New Roman"/>
          <w:sz w:val="24"/>
        </w:rPr>
        <w:t>nifH</w:t>
      </w:r>
      <w:proofErr w:type="spellEnd"/>
      <w:r w:rsidRPr="00807588">
        <w:rPr>
          <w:rFonts w:ascii="Times New Roman" w:hAnsi="Times New Roman" w:cs="Times New Roman"/>
          <w:sz w:val="24"/>
        </w:rPr>
        <w:t xml:space="preserve"> OTUs belonging to Proteobacteria and Cyanobacteria (Fig. 1B). The microbial phyla co-occurred with diazotrophic species were mainly Proteobacteria (25.7%), </w:t>
      </w:r>
      <w:proofErr w:type="spellStart"/>
      <w:r w:rsidRPr="00807588">
        <w:rPr>
          <w:rFonts w:ascii="Times New Roman" w:hAnsi="Times New Roman" w:cs="Times New Roman"/>
          <w:sz w:val="24"/>
        </w:rPr>
        <w:t>Acidobacteria</w:t>
      </w:r>
      <w:proofErr w:type="spellEnd"/>
      <w:r w:rsidRPr="00807588">
        <w:rPr>
          <w:rFonts w:ascii="Times New Roman" w:hAnsi="Times New Roman" w:cs="Times New Roman"/>
          <w:sz w:val="24"/>
        </w:rPr>
        <w:t xml:space="preserve"> (22.3%), Planctomycetes (13.2%), </w:t>
      </w:r>
      <w:proofErr w:type="spellStart"/>
      <w:r w:rsidRPr="00807588">
        <w:rPr>
          <w:rFonts w:ascii="Times New Roman" w:hAnsi="Times New Roman" w:cs="Times New Roman"/>
          <w:sz w:val="24"/>
        </w:rPr>
        <w:t>Verrucomicrobia</w:t>
      </w:r>
      <w:proofErr w:type="spellEnd"/>
      <w:r w:rsidRPr="00807588">
        <w:rPr>
          <w:rFonts w:ascii="Times New Roman" w:hAnsi="Times New Roman" w:cs="Times New Roman"/>
          <w:sz w:val="24"/>
        </w:rPr>
        <w:t xml:space="preserve"> (10.9%), Actinobacteria (8.3%), and Ascomycota (8.7%). For the fungal-microbial network (Fig. 1C), the microbial phyla co-occurred with fungi were Proteobacteria (46.4%), </w:t>
      </w:r>
      <w:proofErr w:type="spellStart"/>
      <w:r w:rsidRPr="00807588">
        <w:rPr>
          <w:rFonts w:ascii="Times New Roman" w:hAnsi="Times New Roman" w:cs="Times New Roman"/>
          <w:sz w:val="24"/>
        </w:rPr>
        <w:t>Acidobacteria</w:t>
      </w:r>
      <w:proofErr w:type="spellEnd"/>
      <w:r w:rsidRPr="00807588">
        <w:rPr>
          <w:rFonts w:ascii="Times New Roman" w:hAnsi="Times New Roman" w:cs="Times New Roman"/>
          <w:sz w:val="24"/>
        </w:rPr>
        <w:t xml:space="preserve"> (22.9%), Actinobacteria (11.4%), </w:t>
      </w:r>
      <w:proofErr w:type="spellStart"/>
      <w:r w:rsidRPr="00807588">
        <w:rPr>
          <w:rFonts w:ascii="Times New Roman" w:hAnsi="Times New Roman" w:cs="Times New Roman"/>
          <w:sz w:val="24"/>
        </w:rPr>
        <w:t>Verrucomicrobia</w:t>
      </w:r>
      <w:proofErr w:type="spellEnd"/>
      <w:r w:rsidRPr="00807588">
        <w:rPr>
          <w:rFonts w:ascii="Times New Roman" w:hAnsi="Times New Roman" w:cs="Times New Roman"/>
          <w:sz w:val="24"/>
        </w:rPr>
        <w:t xml:space="preserve"> (6.0%), Planctomycetes (6.0%), and Bacteroidetes (4.2%). Thus, different co-occurrence patterns were established by diazotrophic species and fungal species.</w:t>
      </w:r>
    </w:p>
    <w:p w14:paraId="4B9E464E" w14:textId="11FC085D" w:rsidR="00807588" w:rsidRDefault="00807588" w:rsidP="00A21E55">
      <w:pPr>
        <w:rPr>
          <w:rFonts w:ascii="Times New Roman" w:hAnsi="Times New Roman" w:cs="Times New Roman"/>
          <w:sz w:val="24"/>
          <w:szCs w:val="24"/>
        </w:rPr>
      </w:pPr>
    </w:p>
    <w:p w14:paraId="0CD98C17" w14:textId="7DFA7E1C" w:rsidR="00807588" w:rsidRDefault="00807588" w:rsidP="00A21E55">
      <w:pPr>
        <w:rPr>
          <w:rFonts w:ascii="Times New Roman" w:hAnsi="Times New Roman" w:cs="Times New Roman"/>
          <w:sz w:val="24"/>
          <w:szCs w:val="24"/>
        </w:rPr>
      </w:pPr>
    </w:p>
    <w:p w14:paraId="0DC4F994" w14:textId="58A74A8D" w:rsidR="00FD6E76" w:rsidRDefault="00FD6E76" w:rsidP="00A21E55">
      <w:pPr>
        <w:rPr>
          <w:rFonts w:ascii="Times New Roman" w:hAnsi="Times New Roman" w:cs="Times New Roman"/>
          <w:sz w:val="24"/>
          <w:szCs w:val="24"/>
        </w:rPr>
      </w:pPr>
    </w:p>
    <w:p w14:paraId="24E3EE5F" w14:textId="573C829C" w:rsidR="00FD6E76" w:rsidRDefault="00FD6E76" w:rsidP="00A21E55">
      <w:pPr>
        <w:rPr>
          <w:rFonts w:ascii="Times New Roman" w:hAnsi="Times New Roman" w:cs="Times New Roman"/>
          <w:sz w:val="24"/>
          <w:szCs w:val="24"/>
        </w:rPr>
      </w:pPr>
    </w:p>
    <w:p w14:paraId="476B7B2E" w14:textId="01616BC1" w:rsidR="00FD6E76" w:rsidRDefault="00FD6E76" w:rsidP="00A21E55">
      <w:pPr>
        <w:rPr>
          <w:rFonts w:ascii="Times New Roman" w:hAnsi="Times New Roman" w:cs="Times New Roman"/>
          <w:sz w:val="24"/>
          <w:szCs w:val="24"/>
        </w:rPr>
      </w:pPr>
    </w:p>
    <w:p w14:paraId="116F8F00" w14:textId="77777777" w:rsidR="00FD6E76" w:rsidRDefault="00FD6E76" w:rsidP="00A21E55">
      <w:pPr>
        <w:rPr>
          <w:rFonts w:ascii="Times New Roman" w:hAnsi="Times New Roman" w:cs="Times New Roman"/>
          <w:sz w:val="24"/>
          <w:szCs w:val="24"/>
        </w:rPr>
      </w:pPr>
    </w:p>
    <w:p w14:paraId="7B76E846" w14:textId="77777777" w:rsidR="00807588" w:rsidRDefault="00807588" w:rsidP="00A21E55">
      <w:pPr>
        <w:rPr>
          <w:rFonts w:ascii="Times New Roman" w:hAnsi="Times New Roman" w:cs="Times New Roman"/>
          <w:sz w:val="24"/>
          <w:szCs w:val="24"/>
        </w:rPr>
      </w:pPr>
    </w:p>
    <w:p w14:paraId="463B5B58" w14:textId="77777777" w:rsidR="00646518" w:rsidRDefault="00646518" w:rsidP="00A21E55">
      <w:pPr>
        <w:rPr>
          <w:rFonts w:ascii="Times New Roman" w:hAnsi="Times New Roman" w:cs="Times New Roman"/>
          <w:sz w:val="24"/>
          <w:szCs w:val="24"/>
        </w:rPr>
      </w:pPr>
    </w:p>
    <w:p w14:paraId="6E2C2997" w14:textId="77777777" w:rsidR="00646518" w:rsidRDefault="00646518" w:rsidP="00A21E55">
      <w:pPr>
        <w:rPr>
          <w:rFonts w:ascii="Times New Roman" w:hAnsi="Times New Roman" w:cs="Times New Roman"/>
          <w:sz w:val="24"/>
          <w:szCs w:val="24"/>
        </w:rPr>
      </w:pPr>
    </w:p>
    <w:p w14:paraId="2F4471E7" w14:textId="77777777" w:rsidR="00646518" w:rsidRDefault="00646518" w:rsidP="00A21E55">
      <w:pPr>
        <w:rPr>
          <w:rFonts w:ascii="Times New Roman" w:hAnsi="Times New Roman" w:cs="Times New Roman"/>
          <w:sz w:val="24"/>
          <w:szCs w:val="24"/>
        </w:rPr>
      </w:pPr>
    </w:p>
    <w:p w14:paraId="6FD2820F" w14:textId="77777777" w:rsidR="00646518" w:rsidRDefault="00646518" w:rsidP="00A21E55">
      <w:pPr>
        <w:rPr>
          <w:rFonts w:ascii="Times New Roman" w:hAnsi="Times New Roman" w:cs="Times New Roman"/>
          <w:sz w:val="24"/>
          <w:szCs w:val="24"/>
        </w:rPr>
      </w:pPr>
    </w:p>
    <w:p w14:paraId="79D45CCD" w14:textId="77777777" w:rsidR="00646518" w:rsidRDefault="00646518" w:rsidP="00A21E55">
      <w:pPr>
        <w:rPr>
          <w:rFonts w:ascii="Times New Roman" w:hAnsi="Times New Roman" w:cs="Times New Roman"/>
          <w:sz w:val="24"/>
          <w:szCs w:val="24"/>
        </w:rPr>
      </w:pPr>
    </w:p>
    <w:p w14:paraId="62F91F47" w14:textId="77777777" w:rsidR="00646518" w:rsidRDefault="00646518" w:rsidP="00A21E55">
      <w:pPr>
        <w:rPr>
          <w:rFonts w:ascii="Times New Roman" w:hAnsi="Times New Roman" w:cs="Times New Roman"/>
          <w:sz w:val="24"/>
          <w:szCs w:val="24"/>
        </w:rPr>
      </w:pPr>
    </w:p>
    <w:p w14:paraId="0A31DBE9" w14:textId="77777777" w:rsidR="00646518" w:rsidRDefault="00646518" w:rsidP="00A21E55">
      <w:pPr>
        <w:rPr>
          <w:rFonts w:ascii="Times New Roman" w:hAnsi="Times New Roman" w:cs="Times New Roman"/>
          <w:sz w:val="24"/>
          <w:szCs w:val="24"/>
        </w:rPr>
      </w:pPr>
    </w:p>
    <w:p w14:paraId="35CE2973" w14:textId="77777777" w:rsidR="00646518" w:rsidRDefault="00646518" w:rsidP="00A21E55">
      <w:pPr>
        <w:rPr>
          <w:rFonts w:ascii="Times New Roman" w:hAnsi="Times New Roman" w:cs="Times New Roman"/>
          <w:sz w:val="24"/>
          <w:szCs w:val="24"/>
        </w:rPr>
      </w:pPr>
    </w:p>
    <w:p w14:paraId="4118F645" w14:textId="0BB3787A" w:rsidR="00646518" w:rsidRDefault="00646518" w:rsidP="00A21E55">
      <w:pPr>
        <w:rPr>
          <w:rFonts w:ascii="Times New Roman" w:hAnsi="Times New Roman" w:cs="Times New Roman"/>
          <w:sz w:val="24"/>
          <w:szCs w:val="24"/>
        </w:rPr>
      </w:pPr>
      <w:bookmarkStart w:id="6" w:name="_GoBack"/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</w:t>
      </w:r>
      <w:r w:rsidR="00E0760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igures</w:t>
      </w:r>
    </w:p>
    <w:bookmarkEnd w:id="6"/>
    <w:p w14:paraId="792B20DC" w14:textId="7404A003" w:rsidR="00FA5B49" w:rsidRDefault="001F3D11" w:rsidP="00A21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056DB2" wp14:editId="47F0F984">
            <wp:extent cx="5943600" cy="29222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_sampl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1B7EB" w14:textId="77777777" w:rsidR="00807588" w:rsidRPr="00A21E55" w:rsidRDefault="00807588" w:rsidP="00A21E55">
      <w:pPr>
        <w:rPr>
          <w:rFonts w:ascii="Times New Roman" w:hAnsi="Times New Roman" w:cs="Times New Roman"/>
          <w:sz w:val="24"/>
          <w:szCs w:val="24"/>
        </w:rPr>
      </w:pPr>
    </w:p>
    <w:p w14:paraId="06988638" w14:textId="0EF5002B" w:rsidR="00901C74" w:rsidRDefault="00901C74" w:rsidP="00F32D17">
      <w:pPr>
        <w:jc w:val="both"/>
        <w:rPr>
          <w:rFonts w:ascii="Times New Roman" w:hAnsi="Times New Roman" w:cs="Times New Roman"/>
          <w:sz w:val="24"/>
          <w:szCs w:val="24"/>
        </w:rPr>
      </w:pPr>
      <w:r w:rsidRPr="00A21E55">
        <w:rPr>
          <w:rFonts w:ascii="Times New Roman" w:hAnsi="Times New Roman" w:cs="Times New Roman"/>
          <w:sz w:val="24"/>
          <w:szCs w:val="24"/>
        </w:rPr>
        <w:t>Fig</w:t>
      </w:r>
      <w:r w:rsidR="00646518">
        <w:rPr>
          <w:rFonts w:ascii="Times New Roman" w:hAnsi="Times New Roman" w:cs="Times New Roman"/>
          <w:sz w:val="24"/>
          <w:szCs w:val="24"/>
        </w:rPr>
        <w:t>.</w:t>
      </w:r>
      <w:r w:rsidRPr="00A21E55">
        <w:rPr>
          <w:rFonts w:ascii="Times New Roman" w:hAnsi="Times New Roman" w:cs="Times New Roman"/>
          <w:sz w:val="24"/>
          <w:szCs w:val="24"/>
        </w:rPr>
        <w:t xml:space="preserve"> S1. </w:t>
      </w:r>
      <w:r w:rsidR="00A21E55" w:rsidRPr="00A21E55">
        <w:rPr>
          <w:rFonts w:ascii="Times New Roman" w:hAnsi="Times New Roman" w:cs="Times New Roman"/>
          <w:sz w:val="24"/>
          <w:szCs w:val="24"/>
        </w:rPr>
        <w:t>The location of six forest ecosystems selected in this study (left) and the nested sampling design</w:t>
      </w:r>
      <w:r w:rsidR="002D3BC3">
        <w:rPr>
          <w:rFonts w:ascii="Times New Roman" w:hAnsi="Times New Roman" w:cs="Times New Roman"/>
          <w:sz w:val="24"/>
          <w:szCs w:val="24"/>
        </w:rPr>
        <w:t xml:space="preserve"> (right)</w:t>
      </w:r>
      <w:r w:rsidR="00A21E55" w:rsidRPr="00A21E55">
        <w:rPr>
          <w:rFonts w:ascii="Times New Roman" w:hAnsi="Times New Roman" w:cs="Times New Roman"/>
          <w:sz w:val="24"/>
          <w:szCs w:val="24"/>
        </w:rPr>
        <w:t xml:space="preserve"> implemented for sample collection in each site.  </w:t>
      </w:r>
    </w:p>
    <w:p w14:paraId="0DAFAA6B" w14:textId="77777777" w:rsidR="005600DE" w:rsidRDefault="005600DE" w:rsidP="00F32D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298624" w14:textId="77777777" w:rsidR="005600DE" w:rsidRPr="00A21E55" w:rsidRDefault="005600DE" w:rsidP="00F32D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37409B" w14:textId="7ABACC2F" w:rsidR="0028283C" w:rsidRDefault="0007314A" w:rsidP="00F32D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B382C98" wp14:editId="40D4B628">
            <wp:extent cx="5943600" cy="62953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3-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9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37B05" w14:textId="5C3DB450" w:rsidR="0007314A" w:rsidRPr="00E741E7" w:rsidRDefault="0007314A" w:rsidP="0007314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Fig</w:t>
      </w:r>
      <w:r w:rsidR="006465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S2.</w:t>
      </w:r>
      <w:r>
        <w:rPr>
          <w:rFonts w:ascii="Times New Roman" w:hAnsi="Times New Roman" w:cs="Times New Roman"/>
          <w:sz w:val="24"/>
        </w:rPr>
        <w:t xml:space="preserve"> </w:t>
      </w:r>
      <w:r w:rsidRPr="00D57E03">
        <w:rPr>
          <w:rFonts w:ascii="Times New Roman" w:hAnsi="Times New Roman" w:cs="Times New Roman"/>
          <w:i/>
          <w:sz w:val="24"/>
        </w:rPr>
        <w:t>Z</w:t>
      </w:r>
      <w:r w:rsidRPr="00D57E03">
        <w:rPr>
          <w:rFonts w:ascii="Times New Roman" w:hAnsi="Times New Roman" w:cs="Times New Roman"/>
          <w:sz w:val="24"/>
        </w:rPr>
        <w:t>-</w:t>
      </w:r>
      <w:r w:rsidRPr="00D57E03">
        <w:rPr>
          <w:rFonts w:ascii="Times New Roman" w:hAnsi="Times New Roman" w:cs="Times New Roman"/>
          <w:i/>
          <w:sz w:val="24"/>
        </w:rPr>
        <w:t>P</w:t>
      </w:r>
      <w:r w:rsidRPr="00D57E03">
        <w:rPr>
          <w:rFonts w:ascii="Times New Roman" w:hAnsi="Times New Roman" w:cs="Times New Roman"/>
          <w:sz w:val="24"/>
        </w:rPr>
        <w:t xml:space="preserve"> plot showing the distribution of OTUs b</w:t>
      </w:r>
      <w:r>
        <w:rPr>
          <w:rFonts w:ascii="Times New Roman" w:hAnsi="Times New Roman" w:cs="Times New Roman"/>
          <w:sz w:val="24"/>
        </w:rPr>
        <w:t>ased on their topological roles: (A) BCI forest, (B) LUQ LTER, (C) CWT LTER, (D) AND LTER, (E) NWT LTER, and (F)</w:t>
      </w:r>
      <w:r w:rsidRPr="00D228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HFR LTER.  Each plot was divided in to four different regions based on cutoffs of </w:t>
      </w:r>
      <w:proofErr w:type="spellStart"/>
      <w:r w:rsidRPr="00C321E1">
        <w:rPr>
          <w:rFonts w:ascii="Times New Roman" w:hAnsi="Times New Roman" w:cs="Times New Roman"/>
          <w:i/>
          <w:sz w:val="24"/>
        </w:rPr>
        <w:t>Z</w:t>
      </w:r>
      <w:r w:rsidRPr="00C321E1">
        <w:rPr>
          <w:rFonts w:ascii="Times New Roman" w:hAnsi="Times New Roman" w:cs="Times New Roman"/>
          <w:i/>
          <w:sz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= 2.5 and </w:t>
      </w:r>
      <w:r w:rsidRPr="00C321E1">
        <w:rPr>
          <w:rFonts w:ascii="Times New Roman" w:hAnsi="Times New Roman" w:cs="Times New Roman"/>
          <w:i/>
          <w:sz w:val="24"/>
        </w:rPr>
        <w:t>P</w:t>
      </w:r>
      <w:r w:rsidRPr="00C321E1">
        <w:rPr>
          <w:rFonts w:ascii="Times New Roman" w:hAnsi="Times New Roman" w:cs="Times New Roman"/>
          <w:i/>
          <w:sz w:val="24"/>
          <w:vertAlign w:val="subscript"/>
        </w:rPr>
        <w:t>i</w:t>
      </w:r>
      <w:r>
        <w:rPr>
          <w:rFonts w:ascii="Times New Roman" w:hAnsi="Times New Roman" w:cs="Times New Roman"/>
          <w:sz w:val="24"/>
        </w:rPr>
        <w:t xml:space="preserve"> = 0.62. Nodes falling in different regions have different functions. </w:t>
      </w:r>
    </w:p>
    <w:p w14:paraId="3B5D0309" w14:textId="018917E5" w:rsidR="0007314A" w:rsidRPr="00A21E55" w:rsidRDefault="0007314A" w:rsidP="00F32D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314A" w:rsidRPr="00A21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AB0"/>
    <w:rsid w:val="0007314A"/>
    <w:rsid w:val="000975AE"/>
    <w:rsid w:val="00114F47"/>
    <w:rsid w:val="001F3D11"/>
    <w:rsid w:val="00245870"/>
    <w:rsid w:val="0028283C"/>
    <w:rsid w:val="002D3BC3"/>
    <w:rsid w:val="002E1FD1"/>
    <w:rsid w:val="002E7B9A"/>
    <w:rsid w:val="003A6CB3"/>
    <w:rsid w:val="00443DBC"/>
    <w:rsid w:val="00451035"/>
    <w:rsid w:val="00463FF3"/>
    <w:rsid w:val="005278A5"/>
    <w:rsid w:val="00532AB0"/>
    <w:rsid w:val="005600DE"/>
    <w:rsid w:val="005B336C"/>
    <w:rsid w:val="005B7578"/>
    <w:rsid w:val="00603943"/>
    <w:rsid w:val="00616695"/>
    <w:rsid w:val="00646518"/>
    <w:rsid w:val="00654D35"/>
    <w:rsid w:val="006B3BF7"/>
    <w:rsid w:val="00713342"/>
    <w:rsid w:val="007964BD"/>
    <w:rsid w:val="00807588"/>
    <w:rsid w:val="008B28CF"/>
    <w:rsid w:val="00901C74"/>
    <w:rsid w:val="009214F8"/>
    <w:rsid w:val="00924840"/>
    <w:rsid w:val="00982A81"/>
    <w:rsid w:val="00A21E55"/>
    <w:rsid w:val="00A64864"/>
    <w:rsid w:val="00A7159F"/>
    <w:rsid w:val="00AE386A"/>
    <w:rsid w:val="00B7497B"/>
    <w:rsid w:val="00B9084B"/>
    <w:rsid w:val="00BA5F85"/>
    <w:rsid w:val="00C449E8"/>
    <w:rsid w:val="00CD433C"/>
    <w:rsid w:val="00D04EA1"/>
    <w:rsid w:val="00D6787A"/>
    <w:rsid w:val="00E07609"/>
    <w:rsid w:val="00E15349"/>
    <w:rsid w:val="00EE0E1A"/>
    <w:rsid w:val="00F32D17"/>
    <w:rsid w:val="00F47593"/>
    <w:rsid w:val="00FA5B49"/>
    <w:rsid w:val="00FD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54024"/>
  <w15:docId w15:val="{F15B0C0B-466C-4598-BB1C-2FB22480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2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B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F2281-759F-8F4C-BC30-9D707960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Qichao</dc:creator>
  <cp:keywords/>
  <dc:description/>
  <cp:lastModifiedBy>Qichao Tu</cp:lastModifiedBy>
  <cp:revision>31</cp:revision>
  <dcterms:created xsi:type="dcterms:W3CDTF">2015-10-31T15:35:00Z</dcterms:created>
  <dcterms:modified xsi:type="dcterms:W3CDTF">2020-03-27T10:35:00Z</dcterms:modified>
</cp:coreProperties>
</file>