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E46A66E" w14:textId="77777777" w:rsidR="00A84E3D" w:rsidRDefault="00A84E3D" w:rsidP="00A84E3D">
      <w:pPr>
        <w:widowControl w:val="0"/>
        <w:spacing w:after="0"/>
        <w:rPr>
          <w:rFonts w:eastAsia="Arial" w:cs="Times New Roman"/>
          <w:b/>
          <w:bCs/>
          <w:szCs w:val="24"/>
        </w:rPr>
      </w:pPr>
    </w:p>
    <w:p w14:paraId="1ECFD157" w14:textId="63AF8454" w:rsidR="00A84E3D" w:rsidRDefault="00A84E3D" w:rsidP="009A466C">
      <w:pPr>
        <w:widowControl w:val="0"/>
        <w:spacing w:after="0"/>
        <w:rPr>
          <w:rFonts w:eastAsia="Arial" w:cs="Times New Roman"/>
          <w:szCs w:val="24"/>
        </w:rPr>
      </w:pPr>
      <w:r w:rsidRPr="00936645">
        <w:rPr>
          <w:rFonts w:eastAsia="Arial" w:cs="Times New Roman"/>
          <w:b/>
          <w:bCs/>
          <w:szCs w:val="24"/>
        </w:rPr>
        <w:t xml:space="preserve">Supplementary </w:t>
      </w:r>
      <w:r w:rsidRPr="00E83753">
        <w:rPr>
          <w:rFonts w:eastAsia="Arial" w:cs="Times New Roman"/>
          <w:b/>
          <w:bCs/>
          <w:szCs w:val="24"/>
        </w:rPr>
        <w:t>Table 1</w:t>
      </w:r>
      <w:r w:rsidRPr="00E83753">
        <w:rPr>
          <w:rFonts w:eastAsia="Arial" w:cs="Times New Roman"/>
          <w:szCs w:val="24"/>
        </w:rPr>
        <w:t xml:space="preserve">.  </w:t>
      </w:r>
      <w:r>
        <w:rPr>
          <w:rFonts w:eastAsia="Arial" w:cs="Times New Roman"/>
          <w:szCs w:val="24"/>
        </w:rPr>
        <w:t xml:space="preserve">List and Definitions of Individual Terms and Operators found in the </w:t>
      </w:r>
      <w:r w:rsidR="009A466C" w:rsidRPr="009A466C">
        <w:rPr>
          <w:rFonts w:eastAsia="Arial" w:cs="Times New Roman"/>
          <w:szCs w:val="24"/>
        </w:rPr>
        <w:t>Framework for Integrated, Conceptual, and Systematic Microbial Ecology</w:t>
      </w:r>
    </w:p>
    <w:p w14:paraId="5F746D92" w14:textId="77777777" w:rsidR="009A466C" w:rsidRPr="00936645" w:rsidRDefault="009A466C" w:rsidP="009A466C">
      <w:pPr>
        <w:widowControl w:val="0"/>
        <w:spacing w:before="0" w:after="0"/>
        <w:rPr>
          <w:rFonts w:eastAsia="Arial" w:cs="Times New Roman"/>
          <w:szCs w:val="24"/>
        </w:rPr>
      </w:pPr>
    </w:p>
    <w:tbl>
      <w:tblPr>
        <w:tblW w:w="97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270"/>
        <w:gridCol w:w="2971"/>
        <w:gridCol w:w="2671"/>
        <w:gridCol w:w="1226"/>
        <w:gridCol w:w="1629"/>
      </w:tblGrid>
      <w:tr w:rsidR="00A84E3D" w:rsidRPr="009A466C" w14:paraId="4306B512" w14:textId="77777777" w:rsidTr="00810665">
        <w:tc>
          <w:tcPr>
            <w:tcW w:w="1270" w:type="dxa"/>
            <w:shd w:val="clear" w:color="auto" w:fill="D0CECE"/>
            <w:vAlign w:val="center"/>
          </w:tcPr>
          <w:p w14:paraId="259EC668"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Term</w:t>
            </w:r>
          </w:p>
        </w:tc>
        <w:tc>
          <w:tcPr>
            <w:tcW w:w="3010" w:type="dxa"/>
            <w:shd w:val="clear" w:color="auto" w:fill="D0CECE"/>
            <w:vAlign w:val="center"/>
          </w:tcPr>
          <w:p w14:paraId="572E53EA"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Meaning/Definition</w:t>
            </w:r>
          </w:p>
        </w:tc>
        <w:tc>
          <w:tcPr>
            <w:tcW w:w="2694" w:type="dxa"/>
            <w:shd w:val="clear" w:color="auto" w:fill="D0CECE"/>
            <w:vAlign w:val="center"/>
          </w:tcPr>
          <w:p w14:paraId="27562F2F"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 xml:space="preserve">Assumptions/Notes </w:t>
            </w:r>
          </w:p>
          <w:p w14:paraId="305CE0E9"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 xml:space="preserve">(where applicable) </w:t>
            </w:r>
          </w:p>
        </w:tc>
        <w:tc>
          <w:tcPr>
            <w:tcW w:w="1230" w:type="dxa"/>
            <w:shd w:val="clear" w:color="auto" w:fill="D0CECE"/>
            <w:vAlign w:val="center"/>
          </w:tcPr>
          <w:p w14:paraId="762D2561"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 xml:space="preserve">Equation segments </w:t>
            </w:r>
          </w:p>
        </w:tc>
        <w:tc>
          <w:tcPr>
            <w:tcW w:w="1563" w:type="dxa"/>
            <w:shd w:val="clear" w:color="auto" w:fill="D0CECE"/>
            <w:vAlign w:val="center"/>
          </w:tcPr>
          <w:p w14:paraId="3CFFF92B"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t>Measurement Scale</w:t>
            </w:r>
          </w:p>
        </w:tc>
      </w:tr>
      <w:tr w:rsidR="00A84E3D" w:rsidRPr="009A466C" w14:paraId="2823EC92" w14:textId="77777777" w:rsidTr="00810665">
        <w:trPr>
          <w:trHeight w:val="535"/>
        </w:trPr>
        <w:tc>
          <w:tcPr>
            <w:tcW w:w="1270" w:type="dxa"/>
            <w:vAlign w:val="center"/>
          </w:tcPr>
          <w:p w14:paraId="735D543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w:t>
            </w:r>
          </w:p>
        </w:tc>
        <w:tc>
          <w:tcPr>
            <w:tcW w:w="3010" w:type="dxa"/>
            <w:vAlign w:val="center"/>
          </w:tcPr>
          <w:p w14:paraId="5E73E82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Abundance, number of catalysts </w:t>
            </w:r>
          </w:p>
        </w:tc>
        <w:tc>
          <w:tcPr>
            <w:tcW w:w="2694" w:type="dxa"/>
            <w:vAlign w:val="center"/>
          </w:tcPr>
          <w:p w14:paraId="1F9D8F29" w14:textId="09FFF983" w:rsidR="00A84E3D" w:rsidRPr="009A466C" w:rsidRDefault="00A84E3D" w:rsidP="00810665">
            <w:pPr>
              <w:spacing w:before="0" w:after="0"/>
              <w:rPr>
                <w:rFonts w:eastAsia="Times New Roman" w:cs="Times New Roman"/>
                <w:szCs w:val="20"/>
                <w:highlight w:val="cyan"/>
              </w:rPr>
            </w:pPr>
            <w:proofErr w:type="spellStart"/>
            <w:r w:rsidRPr="009A466C">
              <w:rPr>
                <w:rFonts w:eastAsia="Times New Roman" w:cs="Times New Roman"/>
                <w:szCs w:val="20"/>
              </w:rPr>
              <w:t>n</w:t>
            </w:r>
            <w:r w:rsidRPr="00A737C5">
              <w:rPr>
                <w:rFonts w:eastAsia="Times New Roman" w:cs="Times New Roman"/>
                <w:vertAlign w:val="subscript"/>
              </w:rPr>
              <w:t>i</w:t>
            </w:r>
            <w:proofErr w:type="spellEnd"/>
            <w:r w:rsidRPr="009A466C">
              <w:rPr>
                <w:rFonts w:eastAsia="Times New Roman" w:cs="Times New Roman"/>
                <w:szCs w:val="20"/>
              </w:rPr>
              <w:t xml:space="preserve"> number/concentration of a particular species, </w:t>
            </w:r>
            <w:proofErr w:type="spellStart"/>
            <w:r w:rsidRPr="00151E81">
              <w:rPr>
                <w:rFonts w:eastAsia="Times New Roman" w:cs="Times New Roman"/>
                <w:i/>
                <w:szCs w:val="20"/>
              </w:rPr>
              <w:t>i</w:t>
            </w:r>
            <w:proofErr w:type="spellEnd"/>
          </w:p>
        </w:tc>
        <w:tc>
          <w:tcPr>
            <w:tcW w:w="1230" w:type="dxa"/>
            <w:vAlign w:val="center"/>
          </w:tcPr>
          <w:p w14:paraId="7A89E8D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n1-5, g1, r2, c3</w:t>
            </w:r>
          </w:p>
        </w:tc>
        <w:tc>
          <w:tcPr>
            <w:tcW w:w="1563" w:type="dxa"/>
            <w:vAlign w:val="center"/>
          </w:tcPr>
          <w:p w14:paraId="17B57A5C"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p>
        </w:tc>
      </w:tr>
      <w:tr w:rsidR="00A84E3D" w:rsidRPr="009A466C" w14:paraId="590470F3" w14:textId="77777777" w:rsidTr="00810665">
        <w:tc>
          <w:tcPr>
            <w:tcW w:w="1270" w:type="dxa"/>
            <w:vAlign w:val="center"/>
          </w:tcPr>
          <w:p w14:paraId="05376C0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w:t>
            </w:r>
          </w:p>
        </w:tc>
        <w:tc>
          <w:tcPr>
            <w:tcW w:w="3010" w:type="dxa"/>
            <w:vAlign w:val="center"/>
          </w:tcPr>
          <w:p w14:paraId="3A379A2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Number of different types or strains of microbes in the model</w:t>
            </w:r>
          </w:p>
        </w:tc>
        <w:tc>
          <w:tcPr>
            <w:tcW w:w="2694" w:type="dxa"/>
            <w:vAlign w:val="center"/>
          </w:tcPr>
          <w:p w14:paraId="02220664" w14:textId="77777777" w:rsidR="00A84E3D" w:rsidRPr="009A466C" w:rsidRDefault="00A84E3D" w:rsidP="00810665">
            <w:pPr>
              <w:spacing w:before="0" w:after="0"/>
              <w:rPr>
                <w:rFonts w:eastAsia="Times New Roman" w:cs="Times New Roman"/>
                <w:szCs w:val="20"/>
              </w:rPr>
            </w:pPr>
          </w:p>
        </w:tc>
        <w:tc>
          <w:tcPr>
            <w:tcW w:w="1230" w:type="dxa"/>
            <w:vAlign w:val="center"/>
          </w:tcPr>
          <w:p w14:paraId="6E5BE89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n4</w:t>
            </w:r>
          </w:p>
        </w:tc>
        <w:tc>
          <w:tcPr>
            <w:tcW w:w="1563" w:type="dxa"/>
            <w:vAlign w:val="center"/>
          </w:tcPr>
          <w:p w14:paraId="56F6E6E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km</w:t>
            </w:r>
          </w:p>
        </w:tc>
      </w:tr>
      <w:tr w:rsidR="00A84E3D" w:rsidRPr="009A466C" w14:paraId="30CD8571" w14:textId="77777777" w:rsidTr="00810665">
        <w:tc>
          <w:tcPr>
            <w:tcW w:w="1270" w:type="dxa"/>
            <w:vAlign w:val="center"/>
          </w:tcPr>
          <w:p w14:paraId="1A6DF5F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C </w:t>
            </w:r>
          </w:p>
        </w:tc>
        <w:tc>
          <w:tcPr>
            <w:tcW w:w="3010" w:type="dxa"/>
            <w:vAlign w:val="center"/>
          </w:tcPr>
          <w:p w14:paraId="0782D15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Environmental parameters including chemical concentrations, porosity, osmolarity, temperature, moisture, etc.</w:t>
            </w:r>
          </w:p>
        </w:tc>
        <w:tc>
          <w:tcPr>
            <w:tcW w:w="2694" w:type="dxa"/>
            <w:vAlign w:val="center"/>
          </w:tcPr>
          <w:p w14:paraId="40A5B5B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Abiotic variables that may be changing over time due to inputs and biology</w:t>
            </w:r>
          </w:p>
        </w:tc>
        <w:tc>
          <w:tcPr>
            <w:tcW w:w="1230" w:type="dxa"/>
            <w:vAlign w:val="center"/>
          </w:tcPr>
          <w:p w14:paraId="3038454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n3, g1, r3, r4, c1, c2</w:t>
            </w:r>
          </w:p>
        </w:tc>
        <w:tc>
          <w:tcPr>
            <w:tcW w:w="1563" w:type="dxa"/>
            <w:vAlign w:val="center"/>
          </w:tcPr>
          <w:p w14:paraId="79C5B569"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nm-km</w:t>
            </w:r>
          </w:p>
        </w:tc>
      </w:tr>
      <w:tr w:rsidR="00A84E3D" w:rsidRPr="009A466C" w14:paraId="2620E987" w14:textId="77777777" w:rsidTr="00810665">
        <w:tc>
          <w:tcPr>
            <w:tcW w:w="1270" w:type="dxa"/>
            <w:vAlign w:val="center"/>
          </w:tcPr>
          <w:p w14:paraId="5785031C" w14:textId="77777777" w:rsidR="00A84E3D" w:rsidRPr="009A466C" w:rsidRDefault="00A84E3D" w:rsidP="00810665">
            <w:pPr>
              <w:spacing w:before="0" w:after="0"/>
              <w:rPr>
                <w:rFonts w:eastAsia="Times New Roman" w:cs="Times New Roman"/>
                <w:i/>
                <w:szCs w:val="20"/>
              </w:rPr>
            </w:pPr>
            <w:proofErr w:type="spellStart"/>
            <w:r w:rsidRPr="009A466C">
              <w:rPr>
                <w:rFonts w:eastAsia="Times New Roman" w:cs="Times New Roman"/>
                <w:i/>
                <w:szCs w:val="20"/>
              </w:rPr>
              <w:t>i</w:t>
            </w:r>
            <w:proofErr w:type="spellEnd"/>
          </w:p>
        </w:tc>
        <w:tc>
          <w:tcPr>
            <w:tcW w:w="3010" w:type="dxa"/>
            <w:vAlign w:val="center"/>
          </w:tcPr>
          <w:p w14:paraId="24D538D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One microbial strain, one chemical, one reaction or one interaction</w:t>
            </w:r>
          </w:p>
        </w:tc>
        <w:tc>
          <w:tcPr>
            <w:tcW w:w="2694" w:type="dxa"/>
            <w:vAlign w:val="center"/>
          </w:tcPr>
          <w:p w14:paraId="22F17621" w14:textId="77777777" w:rsidR="00A84E3D" w:rsidRPr="009A466C" w:rsidRDefault="00A84E3D" w:rsidP="00810665">
            <w:pPr>
              <w:spacing w:before="0" w:after="0"/>
              <w:rPr>
                <w:rFonts w:eastAsia="Times New Roman" w:cs="Times New Roman"/>
                <w:szCs w:val="20"/>
              </w:rPr>
            </w:pPr>
          </w:p>
        </w:tc>
        <w:tc>
          <w:tcPr>
            <w:tcW w:w="1230" w:type="dxa"/>
            <w:vAlign w:val="center"/>
          </w:tcPr>
          <w:p w14:paraId="244D9F6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all</w:t>
            </w:r>
          </w:p>
        </w:tc>
        <w:tc>
          <w:tcPr>
            <w:tcW w:w="1563" w:type="dxa"/>
            <w:vAlign w:val="center"/>
          </w:tcPr>
          <w:p w14:paraId="50E96DAA"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p>
        </w:tc>
      </w:tr>
      <w:tr w:rsidR="00A84E3D" w:rsidRPr="009A466C" w14:paraId="34B9F69E" w14:textId="77777777" w:rsidTr="00810665">
        <w:tc>
          <w:tcPr>
            <w:tcW w:w="1270" w:type="dxa"/>
            <w:vAlign w:val="center"/>
          </w:tcPr>
          <w:p w14:paraId="57ABA08E" w14:textId="77777777" w:rsidR="00A84E3D" w:rsidRPr="009A466C" w:rsidRDefault="00A84E3D" w:rsidP="00810665">
            <w:pPr>
              <w:spacing w:before="0" w:after="0"/>
              <w:rPr>
                <w:rFonts w:eastAsia="Times New Roman" w:cs="Times New Roman"/>
                <w:i/>
                <w:szCs w:val="20"/>
              </w:rPr>
            </w:pPr>
            <w:r w:rsidRPr="009A466C">
              <w:rPr>
                <w:rFonts w:eastAsia="Times New Roman" w:cs="Times New Roman"/>
                <w:i/>
                <w:szCs w:val="20"/>
              </w:rPr>
              <w:t>j</w:t>
            </w:r>
          </w:p>
        </w:tc>
        <w:tc>
          <w:tcPr>
            <w:tcW w:w="3010" w:type="dxa"/>
            <w:vAlign w:val="center"/>
          </w:tcPr>
          <w:p w14:paraId="6E3B507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Another microbial strain, chemical, reaction or interaction</w:t>
            </w:r>
          </w:p>
        </w:tc>
        <w:tc>
          <w:tcPr>
            <w:tcW w:w="2694" w:type="dxa"/>
            <w:vAlign w:val="center"/>
          </w:tcPr>
          <w:p w14:paraId="748B8A46" w14:textId="77777777" w:rsidR="00A84E3D" w:rsidRPr="009A466C" w:rsidRDefault="00A84E3D" w:rsidP="00810665">
            <w:pPr>
              <w:spacing w:before="0" w:after="0"/>
              <w:rPr>
                <w:rFonts w:eastAsia="Times New Roman" w:cs="Times New Roman"/>
                <w:szCs w:val="20"/>
              </w:rPr>
            </w:pPr>
          </w:p>
        </w:tc>
        <w:tc>
          <w:tcPr>
            <w:tcW w:w="1230" w:type="dxa"/>
            <w:vAlign w:val="center"/>
          </w:tcPr>
          <w:p w14:paraId="2844888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all</w:t>
            </w:r>
          </w:p>
        </w:tc>
        <w:tc>
          <w:tcPr>
            <w:tcW w:w="1563" w:type="dxa"/>
            <w:vAlign w:val="center"/>
          </w:tcPr>
          <w:p w14:paraId="6837836E"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p>
        </w:tc>
      </w:tr>
      <w:tr w:rsidR="00A84E3D" w:rsidRPr="009A466C" w14:paraId="40810C80" w14:textId="77777777" w:rsidTr="00810665">
        <w:tc>
          <w:tcPr>
            <w:tcW w:w="1270" w:type="dxa"/>
            <w:vAlign w:val="center"/>
          </w:tcPr>
          <w:p w14:paraId="5D36D53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P</w:t>
            </w:r>
          </w:p>
        </w:tc>
        <w:tc>
          <w:tcPr>
            <w:tcW w:w="3010" w:type="dxa"/>
            <w:vAlign w:val="center"/>
          </w:tcPr>
          <w:p w14:paraId="1B9E028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Number of separable compartments (attached, sediment pore, main groundwater flow)</w:t>
            </w:r>
          </w:p>
        </w:tc>
        <w:tc>
          <w:tcPr>
            <w:tcW w:w="2694" w:type="dxa"/>
            <w:vAlign w:val="center"/>
          </w:tcPr>
          <w:p w14:paraId="17D30E2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Sum shows transfer from each compartment to any other compartment</w:t>
            </w:r>
          </w:p>
        </w:tc>
        <w:tc>
          <w:tcPr>
            <w:tcW w:w="1230" w:type="dxa"/>
            <w:vAlign w:val="center"/>
          </w:tcPr>
          <w:p w14:paraId="16D3526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n2</w:t>
            </w:r>
          </w:p>
        </w:tc>
        <w:tc>
          <w:tcPr>
            <w:tcW w:w="1563" w:type="dxa"/>
            <w:vAlign w:val="center"/>
          </w:tcPr>
          <w:p w14:paraId="440CF789"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mm- km</w:t>
            </w:r>
          </w:p>
        </w:tc>
      </w:tr>
      <w:tr w:rsidR="00A84E3D" w:rsidRPr="009A466C" w14:paraId="2E4C3246" w14:textId="77777777" w:rsidTr="00810665">
        <w:trPr>
          <w:trHeight w:val="355"/>
        </w:trPr>
        <w:tc>
          <w:tcPr>
            <w:tcW w:w="1270" w:type="dxa"/>
            <w:vAlign w:val="center"/>
          </w:tcPr>
          <w:p w14:paraId="31C95A2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π (pi,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149440D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Compartment/location</w:t>
            </w:r>
          </w:p>
        </w:tc>
        <w:tc>
          <w:tcPr>
            <w:tcW w:w="2694" w:type="dxa"/>
            <w:vAlign w:val="center"/>
          </w:tcPr>
          <w:p w14:paraId="16894F0E" w14:textId="77777777" w:rsidR="00A84E3D" w:rsidRPr="009A466C" w:rsidRDefault="00A84E3D" w:rsidP="00810665">
            <w:pPr>
              <w:spacing w:before="0" w:after="0"/>
              <w:rPr>
                <w:rFonts w:eastAsia="Times New Roman" w:cs="Times New Roman"/>
                <w:szCs w:val="20"/>
              </w:rPr>
            </w:pPr>
          </w:p>
        </w:tc>
        <w:tc>
          <w:tcPr>
            <w:tcW w:w="1230" w:type="dxa"/>
            <w:vAlign w:val="center"/>
          </w:tcPr>
          <w:p w14:paraId="2CAA8DB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all</w:t>
            </w:r>
          </w:p>
        </w:tc>
        <w:tc>
          <w:tcPr>
            <w:tcW w:w="1563" w:type="dxa"/>
            <w:vAlign w:val="center"/>
          </w:tcPr>
          <w:p w14:paraId="260BD08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mm-m</w:t>
            </w:r>
          </w:p>
        </w:tc>
      </w:tr>
      <w:tr w:rsidR="00A84E3D" w:rsidRPr="009A466C" w14:paraId="268C25DA" w14:textId="77777777" w:rsidTr="00810665">
        <w:tc>
          <w:tcPr>
            <w:tcW w:w="1270" w:type="dxa"/>
            <w:vAlign w:val="center"/>
          </w:tcPr>
          <w:p w14:paraId="3C316FB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p or ρ (rho, lc)</w:t>
            </w:r>
          </w:p>
        </w:tc>
        <w:tc>
          <w:tcPr>
            <w:tcW w:w="3010" w:type="dxa"/>
            <w:vAlign w:val="center"/>
          </w:tcPr>
          <w:p w14:paraId="4F98640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Compartment/location </w:t>
            </w:r>
          </w:p>
        </w:tc>
        <w:tc>
          <w:tcPr>
            <w:tcW w:w="2694" w:type="dxa"/>
            <w:vAlign w:val="center"/>
          </w:tcPr>
          <w:p w14:paraId="244132A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 different compartment than π</w:t>
            </w:r>
          </w:p>
        </w:tc>
        <w:tc>
          <w:tcPr>
            <w:tcW w:w="1230" w:type="dxa"/>
            <w:vAlign w:val="center"/>
          </w:tcPr>
          <w:p w14:paraId="74405A7F"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n2, c2</w:t>
            </w:r>
          </w:p>
        </w:tc>
        <w:tc>
          <w:tcPr>
            <w:tcW w:w="1563" w:type="dxa"/>
            <w:vAlign w:val="center"/>
          </w:tcPr>
          <w:p w14:paraId="63DCBEAF"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mm-m</w:t>
            </w:r>
          </w:p>
        </w:tc>
      </w:tr>
      <w:tr w:rsidR="00A84E3D" w:rsidRPr="009A466C" w14:paraId="3FAE3D3D" w14:textId="77777777" w:rsidTr="00810665">
        <w:tc>
          <w:tcPr>
            <w:tcW w:w="1270" w:type="dxa"/>
            <w:vAlign w:val="center"/>
          </w:tcPr>
          <w:p w14:paraId="6994F3B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τ (tau, lc)</w:t>
            </w:r>
          </w:p>
        </w:tc>
        <w:tc>
          <w:tcPr>
            <w:tcW w:w="3010" w:type="dxa"/>
            <w:vAlign w:val="center"/>
          </w:tcPr>
          <w:p w14:paraId="12566CF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Transport/transfer rate of microbes between compartment</w:t>
            </w:r>
          </w:p>
        </w:tc>
        <w:tc>
          <w:tcPr>
            <w:tcW w:w="2694" w:type="dxa"/>
            <w:vAlign w:val="center"/>
          </w:tcPr>
          <w:p w14:paraId="189E8C5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e.g. transition from attached to planktonic &amp; vice versa</w:t>
            </w:r>
          </w:p>
        </w:tc>
        <w:tc>
          <w:tcPr>
            <w:tcW w:w="1230" w:type="dxa"/>
            <w:vAlign w:val="center"/>
          </w:tcPr>
          <w:p w14:paraId="157A5B7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n2</w:t>
            </w:r>
          </w:p>
        </w:tc>
        <w:tc>
          <w:tcPr>
            <w:tcW w:w="1563" w:type="dxa"/>
            <w:vAlign w:val="center"/>
          </w:tcPr>
          <w:p w14:paraId="1214B69C"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r w:rsidRPr="009A466C">
              <w:rPr>
                <w:rFonts w:eastAsia="Times New Roman" w:cs="Times New Roman"/>
                <w:szCs w:val="20"/>
              </w:rPr>
              <w:t>-km</w:t>
            </w:r>
          </w:p>
        </w:tc>
      </w:tr>
      <w:tr w:rsidR="00A84E3D" w:rsidRPr="009A466C" w14:paraId="6A51E4F7" w14:textId="77777777" w:rsidTr="00810665">
        <w:tc>
          <w:tcPr>
            <w:tcW w:w="1270" w:type="dxa"/>
            <w:vAlign w:val="center"/>
          </w:tcPr>
          <w:p w14:paraId="1A701A5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ϒ (upsilon, </w:t>
            </w:r>
            <w:proofErr w:type="spellStart"/>
            <w:r w:rsidRPr="009A466C">
              <w:rPr>
                <w:rFonts w:eastAsia="Times New Roman" w:cs="Times New Roman"/>
                <w:szCs w:val="20"/>
              </w:rPr>
              <w:t>uc</w:t>
            </w:r>
            <w:proofErr w:type="spellEnd"/>
            <w:r w:rsidRPr="009A466C">
              <w:rPr>
                <w:rFonts w:eastAsia="Times New Roman" w:cs="Times New Roman"/>
                <w:szCs w:val="20"/>
              </w:rPr>
              <w:t>)</w:t>
            </w:r>
          </w:p>
        </w:tc>
        <w:tc>
          <w:tcPr>
            <w:tcW w:w="3010" w:type="dxa"/>
            <w:vAlign w:val="center"/>
          </w:tcPr>
          <w:p w14:paraId="59AF328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Transport/transfer rate of chemicals between compartments</w:t>
            </w:r>
          </w:p>
        </w:tc>
        <w:tc>
          <w:tcPr>
            <w:tcW w:w="2694" w:type="dxa"/>
            <w:vAlign w:val="center"/>
          </w:tcPr>
          <w:p w14:paraId="3132445A" w14:textId="14FE3A1E" w:rsidR="00A84E3D" w:rsidRPr="009A466C" w:rsidRDefault="16088B2C" w:rsidP="00810665">
            <w:pPr>
              <w:spacing w:before="0" w:after="0"/>
              <w:rPr>
                <w:rFonts w:eastAsia="Times New Roman" w:cs="Times New Roman"/>
              </w:rPr>
            </w:pPr>
            <w:r w:rsidRPr="23948B6D">
              <w:rPr>
                <w:rFonts w:eastAsia="Times New Roman" w:cs="Times New Roman"/>
              </w:rPr>
              <w:t>Like tau but for chemicals</w:t>
            </w:r>
            <w:r w:rsidR="18B087AF" w:rsidRPr="23948B6D">
              <w:rPr>
                <w:rFonts w:eastAsia="Times New Roman" w:cs="Times New Roman"/>
              </w:rPr>
              <w:t>,</w:t>
            </w:r>
            <w:r w:rsidRPr="23948B6D">
              <w:rPr>
                <w:rFonts w:eastAsia="Times New Roman" w:cs="Times New Roman"/>
              </w:rPr>
              <w:t xml:space="preserve"> </w:t>
            </w:r>
            <w:r w:rsidRPr="00A737C5">
              <w:rPr>
                <w:rFonts w:eastAsia="Times New Roman" w:cs="Times New Roman"/>
                <w:i/>
                <w:iCs/>
              </w:rPr>
              <w:t>e.g.</w:t>
            </w:r>
            <w:r w:rsidRPr="23948B6D">
              <w:rPr>
                <w:rFonts w:eastAsia="Times New Roman" w:cs="Times New Roman"/>
              </w:rPr>
              <w:t xml:space="preserve"> polysaccharide being attached to sediment or free floating</w:t>
            </w:r>
          </w:p>
        </w:tc>
        <w:tc>
          <w:tcPr>
            <w:tcW w:w="1230" w:type="dxa"/>
            <w:vAlign w:val="center"/>
          </w:tcPr>
          <w:p w14:paraId="70750C5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c2</w:t>
            </w:r>
          </w:p>
        </w:tc>
        <w:tc>
          <w:tcPr>
            <w:tcW w:w="1563" w:type="dxa"/>
            <w:vAlign w:val="center"/>
          </w:tcPr>
          <w:p w14:paraId="5566F856"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r w:rsidRPr="009A466C">
              <w:rPr>
                <w:rFonts w:eastAsia="Times New Roman" w:cs="Times New Roman"/>
                <w:szCs w:val="20"/>
              </w:rPr>
              <w:t>-km</w:t>
            </w:r>
          </w:p>
        </w:tc>
      </w:tr>
      <w:tr w:rsidR="00A84E3D" w:rsidRPr="009A466C" w14:paraId="680A0830" w14:textId="77777777" w:rsidTr="00810665">
        <w:trPr>
          <w:trHeight w:val="364"/>
        </w:trPr>
        <w:tc>
          <w:tcPr>
            <w:tcW w:w="1270" w:type="dxa"/>
            <w:vAlign w:val="center"/>
          </w:tcPr>
          <w:p w14:paraId="62C9BCE2" w14:textId="41DD04DB" w:rsidR="00A84E3D" w:rsidRPr="009A466C" w:rsidRDefault="00A84E3D" w:rsidP="00810665">
            <w:pPr>
              <w:spacing w:before="0" w:after="0"/>
              <w:rPr>
                <w:rFonts w:eastAsia="Times New Roman" w:cs="Times New Roman"/>
                <w:szCs w:val="20"/>
              </w:rPr>
            </w:pPr>
            <w:r w:rsidRPr="009A466C">
              <w:rPr>
                <w:rFonts w:eastAsia="Times New Roman" w:cs="Times New Roman"/>
                <w:szCs w:val="20"/>
              </w:rPr>
              <w:t>D</w:t>
            </w:r>
            <w:r w:rsidRPr="00151E81">
              <w:rPr>
                <w:rFonts w:eastAsia="Times New Roman" w:cs="Times New Roman"/>
                <w:szCs w:val="20"/>
                <w:vertAlign w:val="subscript"/>
              </w:rPr>
              <w:t>h</w:t>
            </w:r>
          </w:p>
        </w:tc>
        <w:tc>
          <w:tcPr>
            <w:tcW w:w="3010" w:type="dxa"/>
            <w:vAlign w:val="center"/>
          </w:tcPr>
          <w:p w14:paraId="70600C2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Hydrodynamic dispersion</w:t>
            </w:r>
          </w:p>
        </w:tc>
        <w:tc>
          <w:tcPr>
            <w:tcW w:w="2694" w:type="dxa"/>
            <w:vAlign w:val="center"/>
          </w:tcPr>
          <w:p w14:paraId="2FC03800" w14:textId="77777777" w:rsidR="00A84E3D" w:rsidRPr="009A466C" w:rsidRDefault="00A84E3D" w:rsidP="00810665">
            <w:pPr>
              <w:spacing w:before="0" w:after="0"/>
              <w:rPr>
                <w:rFonts w:eastAsia="Times New Roman" w:cs="Times New Roman"/>
                <w:szCs w:val="20"/>
              </w:rPr>
            </w:pPr>
          </w:p>
        </w:tc>
        <w:tc>
          <w:tcPr>
            <w:tcW w:w="1230" w:type="dxa"/>
            <w:vAlign w:val="center"/>
          </w:tcPr>
          <w:p w14:paraId="7C31121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n1, c1</w:t>
            </w:r>
          </w:p>
        </w:tc>
        <w:tc>
          <w:tcPr>
            <w:tcW w:w="1563" w:type="dxa"/>
            <w:vAlign w:val="center"/>
          </w:tcPr>
          <w:p w14:paraId="018F0D9E"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r w:rsidRPr="009A466C">
              <w:rPr>
                <w:rFonts w:eastAsia="Times New Roman" w:cs="Times New Roman"/>
                <w:szCs w:val="20"/>
              </w:rPr>
              <w:t>-km</w:t>
            </w:r>
          </w:p>
        </w:tc>
      </w:tr>
      <w:tr w:rsidR="00A84E3D" w:rsidRPr="009A466C" w14:paraId="7C41028D" w14:textId="77777777" w:rsidTr="00810665">
        <w:trPr>
          <w:trHeight w:val="346"/>
        </w:trPr>
        <w:tc>
          <w:tcPr>
            <w:tcW w:w="1270" w:type="dxa"/>
            <w:vAlign w:val="center"/>
          </w:tcPr>
          <w:p w14:paraId="63E9169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φ (phi,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0013AB0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Porosity </w:t>
            </w:r>
          </w:p>
        </w:tc>
        <w:tc>
          <w:tcPr>
            <w:tcW w:w="2694" w:type="dxa"/>
            <w:vAlign w:val="center"/>
          </w:tcPr>
          <w:p w14:paraId="0D949957" w14:textId="77777777" w:rsidR="00A84E3D" w:rsidRPr="009A466C" w:rsidRDefault="00A84E3D" w:rsidP="00810665">
            <w:pPr>
              <w:spacing w:before="0" w:after="0"/>
              <w:rPr>
                <w:rFonts w:eastAsia="Times New Roman" w:cs="Times New Roman"/>
                <w:szCs w:val="20"/>
              </w:rPr>
            </w:pPr>
          </w:p>
        </w:tc>
        <w:tc>
          <w:tcPr>
            <w:tcW w:w="1230" w:type="dxa"/>
            <w:vAlign w:val="center"/>
          </w:tcPr>
          <w:p w14:paraId="18CB4CC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n1, c1</w:t>
            </w:r>
          </w:p>
        </w:tc>
        <w:tc>
          <w:tcPr>
            <w:tcW w:w="1563" w:type="dxa"/>
            <w:vAlign w:val="center"/>
          </w:tcPr>
          <w:p w14:paraId="4A4CB82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nm-m</w:t>
            </w:r>
          </w:p>
        </w:tc>
      </w:tr>
      <w:tr w:rsidR="00A84E3D" w:rsidRPr="009A466C" w14:paraId="6A2481DC" w14:textId="77777777" w:rsidTr="00810665">
        <w:tc>
          <w:tcPr>
            <w:tcW w:w="1270" w:type="dxa"/>
            <w:vAlign w:val="center"/>
          </w:tcPr>
          <w:p w14:paraId="650BE22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x</w:t>
            </w:r>
          </w:p>
        </w:tc>
        <w:tc>
          <w:tcPr>
            <w:tcW w:w="3010" w:type="dxa"/>
            <w:vAlign w:val="center"/>
          </w:tcPr>
          <w:p w14:paraId="13F06AB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physical space, horizontal distance across site</w:t>
            </w:r>
          </w:p>
        </w:tc>
        <w:tc>
          <w:tcPr>
            <w:tcW w:w="2694" w:type="dxa"/>
            <w:vAlign w:val="center"/>
          </w:tcPr>
          <w:p w14:paraId="093A687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x, y, z coordinate plane</w:t>
            </w:r>
          </w:p>
        </w:tc>
        <w:tc>
          <w:tcPr>
            <w:tcW w:w="1230" w:type="dxa"/>
            <w:vAlign w:val="center"/>
          </w:tcPr>
          <w:p w14:paraId="20C748DF"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n1, c1</w:t>
            </w:r>
          </w:p>
        </w:tc>
        <w:tc>
          <w:tcPr>
            <w:tcW w:w="1563" w:type="dxa"/>
            <w:vAlign w:val="center"/>
          </w:tcPr>
          <w:p w14:paraId="1843551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nm-km</w:t>
            </w:r>
          </w:p>
        </w:tc>
      </w:tr>
      <w:tr w:rsidR="00A84E3D" w:rsidRPr="009A466C" w14:paraId="0AA640AB" w14:textId="77777777" w:rsidTr="00810665">
        <w:tc>
          <w:tcPr>
            <w:tcW w:w="1270" w:type="dxa"/>
            <w:vAlign w:val="center"/>
          </w:tcPr>
          <w:p w14:paraId="1596D6B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t</w:t>
            </w:r>
          </w:p>
        </w:tc>
        <w:tc>
          <w:tcPr>
            <w:tcW w:w="3010" w:type="dxa"/>
            <w:vAlign w:val="center"/>
          </w:tcPr>
          <w:p w14:paraId="56B75B9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Time</w:t>
            </w:r>
          </w:p>
        </w:tc>
        <w:tc>
          <w:tcPr>
            <w:tcW w:w="2694" w:type="dxa"/>
            <w:vAlign w:val="center"/>
          </w:tcPr>
          <w:p w14:paraId="534132B4" w14:textId="77777777" w:rsidR="00A84E3D" w:rsidRPr="009A466C" w:rsidRDefault="00A84E3D" w:rsidP="00810665">
            <w:pPr>
              <w:spacing w:before="0" w:after="0"/>
              <w:rPr>
                <w:rFonts w:eastAsia="Times New Roman" w:cs="Times New Roman"/>
                <w:szCs w:val="20"/>
              </w:rPr>
            </w:pPr>
          </w:p>
        </w:tc>
        <w:tc>
          <w:tcPr>
            <w:tcW w:w="1230" w:type="dxa"/>
            <w:vAlign w:val="center"/>
          </w:tcPr>
          <w:p w14:paraId="0742F97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n1, r1</w:t>
            </w:r>
          </w:p>
        </w:tc>
        <w:tc>
          <w:tcPr>
            <w:tcW w:w="1563" w:type="dxa"/>
            <w:vAlign w:val="center"/>
          </w:tcPr>
          <w:p w14:paraId="2F69D893" w14:textId="77777777" w:rsidR="00A84E3D" w:rsidRPr="009A466C" w:rsidRDefault="00A84E3D" w:rsidP="00810665">
            <w:pPr>
              <w:spacing w:before="0" w:after="0"/>
              <w:rPr>
                <w:rFonts w:eastAsia="Times New Roman" w:cs="Times New Roman"/>
                <w:szCs w:val="20"/>
              </w:rPr>
            </w:pPr>
          </w:p>
        </w:tc>
      </w:tr>
      <w:tr w:rsidR="00A84E3D" w:rsidRPr="009A466C" w14:paraId="7133ECA3" w14:textId="77777777" w:rsidTr="00810665">
        <w:tc>
          <w:tcPr>
            <w:tcW w:w="1270" w:type="dxa"/>
            <w:vAlign w:val="center"/>
          </w:tcPr>
          <w:p w14:paraId="270B9B9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lastRenderedPageBreak/>
              <w:t>g</w:t>
            </w:r>
          </w:p>
        </w:tc>
        <w:tc>
          <w:tcPr>
            <w:tcW w:w="3010" w:type="dxa"/>
            <w:vAlign w:val="center"/>
          </w:tcPr>
          <w:p w14:paraId="035DB86C" w14:textId="3C13C618" w:rsidR="00A84E3D" w:rsidRPr="009A466C" w:rsidRDefault="16088B2C" w:rsidP="00810665">
            <w:pPr>
              <w:spacing w:before="0" w:after="0"/>
              <w:rPr>
                <w:rFonts w:eastAsia="Times New Roman" w:cs="Times New Roman"/>
              </w:rPr>
            </w:pPr>
            <w:r w:rsidRPr="23948B6D">
              <w:rPr>
                <w:rFonts w:eastAsia="Times New Roman" w:cs="Times New Roman"/>
              </w:rPr>
              <w:t xml:space="preserve">Specific growth rate of strain </w:t>
            </w:r>
            <w:proofErr w:type="spellStart"/>
            <w:r w:rsidRPr="23948B6D">
              <w:rPr>
                <w:rFonts w:eastAsia="Times New Roman" w:cs="Times New Roman"/>
              </w:rPr>
              <w:t>n</w:t>
            </w:r>
            <w:r w:rsidRPr="00A737C5">
              <w:rPr>
                <w:rFonts w:eastAsia="Times New Roman" w:cs="Times New Roman"/>
                <w:sz w:val="22"/>
                <w:vertAlign w:val="subscript"/>
              </w:rPr>
              <w:t>i</w:t>
            </w:r>
            <w:proofErr w:type="spellEnd"/>
            <w:r w:rsidRPr="23948B6D">
              <w:rPr>
                <w:rFonts w:eastAsia="Times New Roman" w:cs="Times New Roman"/>
              </w:rPr>
              <w:t xml:space="preserve"> given the environmental parameters in the compartment</w:t>
            </w:r>
          </w:p>
        </w:tc>
        <w:tc>
          <w:tcPr>
            <w:tcW w:w="2694" w:type="dxa"/>
            <w:vAlign w:val="center"/>
          </w:tcPr>
          <w:p w14:paraId="3D78A74E" w14:textId="77777777" w:rsidR="00A84E3D" w:rsidRPr="009A466C" w:rsidRDefault="00A84E3D" w:rsidP="00810665">
            <w:pPr>
              <w:spacing w:before="0" w:after="0"/>
              <w:rPr>
                <w:rFonts w:eastAsia="Times New Roman" w:cs="Times New Roman"/>
                <w:szCs w:val="20"/>
              </w:rPr>
            </w:pPr>
          </w:p>
        </w:tc>
        <w:tc>
          <w:tcPr>
            <w:tcW w:w="1230" w:type="dxa"/>
            <w:vAlign w:val="center"/>
          </w:tcPr>
          <w:p w14:paraId="58B72B49"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n3, g1</w:t>
            </w:r>
          </w:p>
        </w:tc>
        <w:tc>
          <w:tcPr>
            <w:tcW w:w="1563" w:type="dxa"/>
            <w:vAlign w:val="center"/>
          </w:tcPr>
          <w:p w14:paraId="06046218"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μm</w:t>
            </w:r>
            <w:proofErr w:type="spellEnd"/>
            <w:r w:rsidRPr="009A466C">
              <w:rPr>
                <w:rFonts w:eastAsia="Times New Roman" w:cs="Times New Roman"/>
                <w:szCs w:val="20"/>
              </w:rPr>
              <w:t>-cm</w:t>
            </w:r>
          </w:p>
        </w:tc>
      </w:tr>
      <w:tr w:rsidR="00A84E3D" w:rsidRPr="009A466C" w14:paraId="312C009E" w14:textId="77777777" w:rsidTr="00810665">
        <w:tc>
          <w:tcPr>
            <w:tcW w:w="1270" w:type="dxa"/>
            <w:vAlign w:val="center"/>
          </w:tcPr>
          <w:p w14:paraId="700A12B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ν (nu, lc)</w:t>
            </w:r>
          </w:p>
        </w:tc>
        <w:tc>
          <w:tcPr>
            <w:tcW w:w="3010" w:type="dxa"/>
            <w:vAlign w:val="center"/>
          </w:tcPr>
          <w:p w14:paraId="4D7CC6B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Rate laws for various chemical transformations</w:t>
            </w:r>
          </w:p>
        </w:tc>
        <w:tc>
          <w:tcPr>
            <w:tcW w:w="2694" w:type="dxa"/>
            <w:vAlign w:val="center"/>
          </w:tcPr>
          <w:p w14:paraId="46E0BC1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Biotic</w:t>
            </w:r>
          </w:p>
        </w:tc>
        <w:tc>
          <w:tcPr>
            <w:tcW w:w="1230" w:type="dxa"/>
            <w:vAlign w:val="center"/>
          </w:tcPr>
          <w:p w14:paraId="369C952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r1</w:t>
            </w:r>
          </w:p>
        </w:tc>
        <w:tc>
          <w:tcPr>
            <w:tcW w:w="1563" w:type="dxa"/>
            <w:vAlign w:val="center"/>
          </w:tcPr>
          <w:p w14:paraId="3011AD2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1A8A9301" w14:textId="77777777" w:rsidTr="00810665">
        <w:tc>
          <w:tcPr>
            <w:tcW w:w="1270" w:type="dxa"/>
            <w:vAlign w:val="center"/>
          </w:tcPr>
          <w:p w14:paraId="00206C4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υ (upsilon, lc)</w:t>
            </w:r>
          </w:p>
        </w:tc>
        <w:tc>
          <w:tcPr>
            <w:tcW w:w="3010" w:type="dxa"/>
            <w:vAlign w:val="center"/>
          </w:tcPr>
          <w:p w14:paraId="76E62F6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Rates of abiotic transformations (like nu but abiotic) </w:t>
            </w:r>
          </w:p>
        </w:tc>
        <w:tc>
          <w:tcPr>
            <w:tcW w:w="2694" w:type="dxa"/>
            <w:vAlign w:val="center"/>
          </w:tcPr>
          <w:p w14:paraId="77B4DC21" w14:textId="77777777" w:rsidR="00A84E3D" w:rsidRPr="009A466C" w:rsidRDefault="00A84E3D" w:rsidP="00810665">
            <w:pPr>
              <w:spacing w:before="0" w:after="0"/>
              <w:rPr>
                <w:rFonts w:eastAsia="Times New Roman" w:cs="Times New Roman"/>
                <w:szCs w:val="20"/>
              </w:rPr>
            </w:pPr>
          </w:p>
        </w:tc>
        <w:tc>
          <w:tcPr>
            <w:tcW w:w="1230" w:type="dxa"/>
            <w:vAlign w:val="center"/>
          </w:tcPr>
          <w:p w14:paraId="706DCD4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g2, c4</w:t>
            </w:r>
          </w:p>
        </w:tc>
        <w:tc>
          <w:tcPr>
            <w:tcW w:w="1563" w:type="dxa"/>
            <w:vAlign w:val="center"/>
          </w:tcPr>
          <w:p w14:paraId="3F682CC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48C76802" w14:textId="77777777" w:rsidTr="00810665">
        <w:tc>
          <w:tcPr>
            <w:tcW w:w="1270" w:type="dxa"/>
            <w:vAlign w:val="center"/>
          </w:tcPr>
          <w:p w14:paraId="5136567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σ (sigma, lc)</w:t>
            </w:r>
          </w:p>
        </w:tc>
        <w:tc>
          <w:tcPr>
            <w:tcW w:w="3010" w:type="dxa"/>
            <w:vAlign w:val="center"/>
          </w:tcPr>
          <w:p w14:paraId="2CA10467" w14:textId="481A4132"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stoichiometric matrix for </w:t>
            </w:r>
            <w:r w:rsidR="00261AB5" w:rsidRPr="009A466C">
              <w:rPr>
                <w:rFonts w:eastAsia="Times New Roman" w:cs="Times New Roman"/>
                <w:szCs w:val="20"/>
              </w:rPr>
              <w:t>reactions, e.g.</w:t>
            </w:r>
            <w:r w:rsidRPr="009A466C">
              <w:rPr>
                <w:rFonts w:eastAsia="Times New Roman" w:cs="Times New Roman"/>
                <w:szCs w:val="20"/>
              </w:rPr>
              <w:t xml:space="preserve"> a flux-balance model</w:t>
            </w:r>
          </w:p>
        </w:tc>
        <w:tc>
          <w:tcPr>
            <w:tcW w:w="2694" w:type="dxa"/>
            <w:vAlign w:val="center"/>
          </w:tcPr>
          <w:p w14:paraId="3832BB1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Abiotic; essentially a mass-conservation matrix for cellular metabolism</w:t>
            </w:r>
          </w:p>
        </w:tc>
        <w:tc>
          <w:tcPr>
            <w:tcW w:w="1230" w:type="dxa"/>
            <w:vAlign w:val="center"/>
          </w:tcPr>
          <w:p w14:paraId="0D40026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g1, c4</w:t>
            </w:r>
          </w:p>
        </w:tc>
        <w:tc>
          <w:tcPr>
            <w:tcW w:w="1563" w:type="dxa"/>
            <w:vAlign w:val="center"/>
          </w:tcPr>
          <w:p w14:paraId="6BA8E0D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3D1A0706" w14:textId="77777777" w:rsidTr="00810665">
        <w:trPr>
          <w:trHeight w:val="643"/>
        </w:trPr>
        <w:tc>
          <w:tcPr>
            <w:tcW w:w="1270" w:type="dxa"/>
            <w:vAlign w:val="center"/>
          </w:tcPr>
          <w:p w14:paraId="24EDF9F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κ (kappa,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589AEEB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Constraints put on rates in a flux-balance model</w:t>
            </w:r>
          </w:p>
        </w:tc>
        <w:tc>
          <w:tcPr>
            <w:tcW w:w="2694" w:type="dxa"/>
            <w:vAlign w:val="center"/>
          </w:tcPr>
          <w:p w14:paraId="4AC3C91A" w14:textId="77777777" w:rsidR="00A84E3D" w:rsidRPr="009A466C" w:rsidRDefault="00A84E3D" w:rsidP="00810665">
            <w:pPr>
              <w:spacing w:before="0" w:after="0"/>
              <w:rPr>
                <w:rFonts w:eastAsia="Times New Roman" w:cs="Times New Roman"/>
                <w:szCs w:val="20"/>
              </w:rPr>
            </w:pPr>
          </w:p>
        </w:tc>
        <w:tc>
          <w:tcPr>
            <w:tcW w:w="1230" w:type="dxa"/>
            <w:vAlign w:val="center"/>
          </w:tcPr>
          <w:p w14:paraId="5406CB4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g2</w:t>
            </w:r>
          </w:p>
        </w:tc>
        <w:tc>
          <w:tcPr>
            <w:tcW w:w="1563" w:type="dxa"/>
            <w:vAlign w:val="center"/>
          </w:tcPr>
          <w:p w14:paraId="23B04A2B" w14:textId="77777777" w:rsidR="00A84E3D" w:rsidRPr="009A466C" w:rsidRDefault="00A84E3D" w:rsidP="00810665">
            <w:pPr>
              <w:spacing w:before="0" w:after="0"/>
              <w:rPr>
                <w:rFonts w:eastAsia="Times New Roman" w:cs="Times New Roman"/>
                <w:szCs w:val="20"/>
              </w:rPr>
            </w:pPr>
          </w:p>
        </w:tc>
      </w:tr>
      <w:tr w:rsidR="00A84E3D" w:rsidRPr="009A466C" w14:paraId="6A0A4988" w14:textId="77777777" w:rsidTr="00810665">
        <w:trPr>
          <w:trHeight w:val="1246"/>
        </w:trPr>
        <w:tc>
          <w:tcPr>
            <w:tcW w:w="1270" w:type="dxa"/>
            <w:vAlign w:val="center"/>
          </w:tcPr>
          <w:p w14:paraId="2A8C3BE3" w14:textId="5DA366B3" w:rsidR="00A84E3D" w:rsidRPr="009A466C" w:rsidRDefault="16088B2C" w:rsidP="00810665">
            <w:pPr>
              <w:spacing w:before="0" w:after="0"/>
              <w:rPr>
                <w:rFonts w:eastAsia="Times New Roman" w:cs="Times New Roman"/>
              </w:rPr>
            </w:pPr>
            <w:r w:rsidRPr="23948B6D">
              <w:rPr>
                <w:rFonts w:eastAsia="Times New Roman" w:cs="Times New Roman"/>
              </w:rPr>
              <w:t>α</w:t>
            </w:r>
            <w:proofErr w:type="spellStart"/>
            <w:r w:rsidRPr="00A737C5">
              <w:rPr>
                <w:rFonts w:eastAsia="Times New Roman" w:cs="Times New Roman"/>
                <w:vertAlign w:val="subscript"/>
              </w:rPr>
              <w:t>ij</w:t>
            </w:r>
            <w:proofErr w:type="spellEnd"/>
            <w:r w:rsidRPr="23948B6D">
              <w:rPr>
                <w:rFonts w:eastAsia="Times New Roman" w:cs="Times New Roman"/>
              </w:rPr>
              <w:t xml:space="preserve"> (alpha, </w:t>
            </w:r>
            <w:proofErr w:type="spellStart"/>
            <w:r w:rsidRPr="23948B6D">
              <w:rPr>
                <w:rFonts w:eastAsia="Times New Roman" w:cs="Times New Roman"/>
              </w:rPr>
              <w:t>lc</w:t>
            </w:r>
            <w:proofErr w:type="spellEnd"/>
            <w:r w:rsidRPr="23948B6D">
              <w:rPr>
                <w:rFonts w:eastAsia="Times New Roman" w:cs="Times New Roman"/>
              </w:rPr>
              <w:t>)</w:t>
            </w:r>
          </w:p>
        </w:tc>
        <w:tc>
          <w:tcPr>
            <w:tcW w:w="3010" w:type="dxa"/>
            <w:vAlign w:val="center"/>
          </w:tcPr>
          <w:p w14:paraId="60E22A9C" w14:textId="77777777" w:rsidR="00A84E3D" w:rsidRPr="009A466C" w:rsidRDefault="16088B2C" w:rsidP="00810665">
            <w:pPr>
              <w:spacing w:before="0" w:after="0"/>
              <w:rPr>
                <w:rFonts w:eastAsia="Times New Roman" w:cs="Times New Roman"/>
              </w:rPr>
            </w:pPr>
            <w:r w:rsidRPr="23948B6D">
              <w:rPr>
                <w:rFonts w:eastAsia="Times New Roman" w:cs="Times New Roman"/>
              </w:rPr>
              <w:t xml:space="preserve">Direct species interactions term between species </w:t>
            </w:r>
            <w:proofErr w:type="spellStart"/>
            <w:r w:rsidRPr="00A737C5">
              <w:rPr>
                <w:rFonts w:eastAsia="Times New Roman" w:cs="Times New Roman"/>
                <w:i/>
                <w:iCs/>
              </w:rPr>
              <w:t>i</w:t>
            </w:r>
            <w:proofErr w:type="spellEnd"/>
            <w:r w:rsidRPr="23948B6D">
              <w:rPr>
                <w:rFonts w:eastAsia="Times New Roman" w:cs="Times New Roman"/>
              </w:rPr>
              <w:t xml:space="preserve"> and </w:t>
            </w:r>
            <w:r w:rsidRPr="00A737C5">
              <w:rPr>
                <w:rFonts w:eastAsia="Times New Roman" w:cs="Times New Roman"/>
                <w:i/>
                <w:iCs/>
              </w:rPr>
              <w:t>j</w:t>
            </w:r>
            <w:r w:rsidRPr="23948B6D">
              <w:rPr>
                <w:rFonts w:eastAsia="Times New Roman" w:cs="Times New Roman"/>
              </w:rPr>
              <w:t xml:space="preserve"> (</w:t>
            </w:r>
            <w:proofErr w:type="spellStart"/>
            <w:r w:rsidRPr="23948B6D">
              <w:rPr>
                <w:rFonts w:eastAsia="Times New Roman" w:cs="Times New Roman"/>
              </w:rPr>
              <w:t>Lotka</w:t>
            </w:r>
            <w:proofErr w:type="spellEnd"/>
            <w:r w:rsidRPr="23948B6D">
              <w:rPr>
                <w:rFonts w:eastAsia="Times New Roman" w:cs="Times New Roman"/>
              </w:rPr>
              <w:t>-Volterra like)</w:t>
            </w:r>
          </w:p>
        </w:tc>
        <w:tc>
          <w:tcPr>
            <w:tcW w:w="2694" w:type="dxa"/>
            <w:vAlign w:val="center"/>
          </w:tcPr>
          <w:p w14:paraId="5F8996E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Unlike L-V, this model requires that these be "touching" reactions </w:t>
            </w:r>
            <w:r w:rsidRPr="009A466C">
              <w:rPr>
                <w:rFonts w:eastAsia="Times New Roman" w:cs="Times New Roman"/>
                <w:i/>
                <w:szCs w:val="20"/>
              </w:rPr>
              <w:t xml:space="preserve">e.g. </w:t>
            </w:r>
            <w:r w:rsidRPr="009A466C">
              <w:rPr>
                <w:rFonts w:eastAsia="Times New Roman" w:cs="Times New Roman"/>
                <w:szCs w:val="20"/>
              </w:rPr>
              <w:t xml:space="preserve"> type-VI secretion</w:t>
            </w:r>
          </w:p>
        </w:tc>
        <w:tc>
          <w:tcPr>
            <w:tcW w:w="1230" w:type="dxa"/>
            <w:vAlign w:val="center"/>
          </w:tcPr>
          <w:p w14:paraId="3C6E51B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n4</w:t>
            </w:r>
          </w:p>
        </w:tc>
        <w:tc>
          <w:tcPr>
            <w:tcW w:w="1563" w:type="dxa"/>
            <w:vAlign w:val="center"/>
          </w:tcPr>
          <w:p w14:paraId="6F42A03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nm-mm</w:t>
            </w:r>
          </w:p>
        </w:tc>
      </w:tr>
      <w:tr w:rsidR="00A84E3D" w:rsidRPr="009A466C" w14:paraId="2B480FFD" w14:textId="77777777" w:rsidTr="00810665">
        <w:trPr>
          <w:trHeight w:val="895"/>
        </w:trPr>
        <w:tc>
          <w:tcPr>
            <w:tcW w:w="1270" w:type="dxa"/>
            <w:vAlign w:val="center"/>
          </w:tcPr>
          <w:p w14:paraId="27B3CC89"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μ (mu,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37BA6D5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Mutation, mutation rates</w:t>
            </w:r>
          </w:p>
        </w:tc>
        <w:tc>
          <w:tcPr>
            <w:tcW w:w="2694" w:type="dxa"/>
            <w:vAlign w:val="center"/>
          </w:tcPr>
          <w:p w14:paraId="0601D769" w14:textId="60A7D504" w:rsidR="00A84E3D" w:rsidRPr="009A466C" w:rsidRDefault="16088B2C" w:rsidP="00810665">
            <w:pPr>
              <w:spacing w:before="0" w:after="0"/>
              <w:rPr>
                <w:rFonts w:eastAsia="Times New Roman" w:cs="Times New Roman"/>
              </w:rPr>
            </w:pPr>
            <w:r w:rsidRPr="23948B6D">
              <w:rPr>
                <w:rFonts w:eastAsia="Times New Roman" w:cs="Times New Roman"/>
              </w:rPr>
              <w:t xml:space="preserve">Rate at which species </w:t>
            </w:r>
            <w:proofErr w:type="spellStart"/>
            <w:r w:rsidRPr="23948B6D">
              <w:rPr>
                <w:rFonts w:eastAsia="Times New Roman" w:cs="Times New Roman"/>
              </w:rPr>
              <w:t>n</w:t>
            </w:r>
            <w:r w:rsidRPr="00A737C5">
              <w:rPr>
                <w:rFonts w:eastAsia="Times New Roman" w:cs="Times New Roman"/>
                <w:vertAlign w:val="subscript"/>
              </w:rPr>
              <w:t>j</w:t>
            </w:r>
            <w:proofErr w:type="spellEnd"/>
            <w:r w:rsidRPr="23948B6D">
              <w:rPr>
                <w:rFonts w:eastAsia="Times New Roman" w:cs="Times New Roman"/>
              </w:rPr>
              <w:t xml:space="preserve"> can mutate in species </w:t>
            </w:r>
            <w:proofErr w:type="spellStart"/>
            <w:r w:rsidRPr="23948B6D">
              <w:rPr>
                <w:rFonts w:eastAsia="Times New Roman" w:cs="Times New Roman"/>
              </w:rPr>
              <w:t>n</w:t>
            </w:r>
            <w:r w:rsidRPr="00A737C5">
              <w:rPr>
                <w:rFonts w:eastAsia="Times New Roman" w:cs="Times New Roman"/>
                <w:vertAlign w:val="subscript"/>
              </w:rPr>
              <w:t>i</w:t>
            </w:r>
            <w:proofErr w:type="spellEnd"/>
            <w:r w:rsidRPr="23948B6D">
              <w:rPr>
                <w:rFonts w:eastAsia="Times New Roman" w:cs="Times New Roman"/>
              </w:rPr>
              <w:t xml:space="preserve"> for example</w:t>
            </w:r>
          </w:p>
        </w:tc>
        <w:tc>
          <w:tcPr>
            <w:tcW w:w="1230" w:type="dxa"/>
            <w:vAlign w:val="center"/>
          </w:tcPr>
          <w:p w14:paraId="0FB1961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n5</w:t>
            </w:r>
          </w:p>
        </w:tc>
        <w:tc>
          <w:tcPr>
            <w:tcW w:w="1563" w:type="dxa"/>
            <w:vAlign w:val="center"/>
          </w:tcPr>
          <w:p w14:paraId="2AD793A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roofErr w:type="spellStart"/>
            <w:r w:rsidRPr="009A466C">
              <w:rPr>
                <w:rFonts w:eastAsia="Times New Roman" w:cs="Times New Roman"/>
                <w:szCs w:val="20"/>
              </w:rPr>
              <w:t>μm</w:t>
            </w:r>
            <w:proofErr w:type="spellEnd"/>
          </w:p>
        </w:tc>
      </w:tr>
      <w:tr w:rsidR="00A84E3D" w:rsidRPr="009A466C" w14:paraId="1B75717E" w14:textId="77777777" w:rsidTr="00810665">
        <w:tc>
          <w:tcPr>
            <w:tcW w:w="1270" w:type="dxa"/>
            <w:vAlign w:val="center"/>
          </w:tcPr>
          <w:p w14:paraId="069A17BC" w14:textId="77777777" w:rsidR="00A84E3D" w:rsidRPr="009A466C" w:rsidRDefault="00A84E3D" w:rsidP="00810665">
            <w:pPr>
              <w:spacing w:before="0" w:after="0"/>
              <w:rPr>
                <w:rFonts w:eastAsia="Times New Roman" w:cs="Times New Roman"/>
                <w:i/>
                <w:szCs w:val="20"/>
              </w:rPr>
            </w:pPr>
            <w:r w:rsidRPr="009A466C">
              <w:rPr>
                <w:rFonts w:eastAsia="Times New Roman" w:cs="Times New Roman"/>
                <w:i/>
                <w:szCs w:val="20"/>
              </w:rPr>
              <w:t>gene set</w:t>
            </w:r>
          </w:p>
        </w:tc>
        <w:tc>
          <w:tcPr>
            <w:tcW w:w="3010" w:type="dxa"/>
            <w:vAlign w:val="center"/>
          </w:tcPr>
          <w:p w14:paraId="608D2AF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all of the genes considered in the model</w:t>
            </w:r>
          </w:p>
        </w:tc>
        <w:tc>
          <w:tcPr>
            <w:tcW w:w="2694" w:type="dxa"/>
            <w:vAlign w:val="center"/>
          </w:tcPr>
          <w:p w14:paraId="22B60AE4" w14:textId="77777777" w:rsidR="00A84E3D" w:rsidRPr="009A466C" w:rsidRDefault="00A84E3D" w:rsidP="00810665">
            <w:pPr>
              <w:spacing w:before="0" w:after="0"/>
              <w:rPr>
                <w:rFonts w:eastAsia="Times New Roman" w:cs="Times New Roman"/>
                <w:szCs w:val="20"/>
              </w:rPr>
            </w:pPr>
          </w:p>
        </w:tc>
        <w:tc>
          <w:tcPr>
            <w:tcW w:w="1230" w:type="dxa"/>
            <w:vAlign w:val="center"/>
          </w:tcPr>
          <w:p w14:paraId="3CCC9968"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r2</w:t>
            </w:r>
          </w:p>
        </w:tc>
        <w:tc>
          <w:tcPr>
            <w:tcW w:w="1563" w:type="dxa"/>
            <w:vAlign w:val="center"/>
          </w:tcPr>
          <w:p w14:paraId="1025F6B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nm-km</w:t>
            </w:r>
          </w:p>
        </w:tc>
      </w:tr>
      <w:tr w:rsidR="00A84E3D" w:rsidRPr="009A466C" w14:paraId="2597FBC1" w14:textId="77777777" w:rsidTr="00810665">
        <w:tc>
          <w:tcPr>
            <w:tcW w:w="1270" w:type="dxa"/>
            <w:vAlign w:val="center"/>
          </w:tcPr>
          <w:p w14:paraId="038FA10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ε (epsilon, lc)</w:t>
            </w:r>
          </w:p>
        </w:tc>
        <w:tc>
          <w:tcPr>
            <w:tcW w:w="3010" w:type="dxa"/>
            <w:vAlign w:val="center"/>
          </w:tcPr>
          <w:p w14:paraId="382244F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metabolic enzyme expression level/concentration of each gene in the gene set </w:t>
            </w:r>
          </w:p>
        </w:tc>
        <w:tc>
          <w:tcPr>
            <w:tcW w:w="2694" w:type="dxa"/>
            <w:vAlign w:val="center"/>
          </w:tcPr>
          <w:p w14:paraId="15BD92E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An enzyme might be composed of a number of polypeptides. Therefore, its concentration is dependent on the expression of multiple genes (gene set).</w:t>
            </w:r>
          </w:p>
        </w:tc>
        <w:tc>
          <w:tcPr>
            <w:tcW w:w="1230" w:type="dxa"/>
            <w:vAlign w:val="center"/>
          </w:tcPr>
          <w:p w14:paraId="24B8639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r2</w:t>
            </w:r>
          </w:p>
        </w:tc>
        <w:tc>
          <w:tcPr>
            <w:tcW w:w="1563" w:type="dxa"/>
            <w:vAlign w:val="center"/>
          </w:tcPr>
          <w:p w14:paraId="50D20F0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nm-km</w:t>
            </w:r>
          </w:p>
        </w:tc>
      </w:tr>
      <w:tr w:rsidR="00A84E3D" w:rsidRPr="009A466C" w14:paraId="34D0B144" w14:textId="77777777" w:rsidTr="00810665">
        <w:tc>
          <w:tcPr>
            <w:tcW w:w="1270" w:type="dxa"/>
            <w:vAlign w:val="center"/>
          </w:tcPr>
          <w:p w14:paraId="52A1DE06" w14:textId="77777777" w:rsidR="00A84E3D" w:rsidRPr="009A466C" w:rsidRDefault="00A84E3D" w:rsidP="00810665">
            <w:pPr>
              <w:spacing w:before="0" w:after="0"/>
              <w:rPr>
                <w:rFonts w:eastAsia="Times New Roman" w:cs="Times New Roman"/>
                <w:szCs w:val="20"/>
                <w:vertAlign w:val="subscript"/>
              </w:rPr>
            </w:pPr>
            <w:proofErr w:type="spellStart"/>
            <w:r w:rsidRPr="009A466C">
              <w:rPr>
                <w:rFonts w:eastAsia="Times New Roman" w:cs="Times New Roman"/>
                <w:szCs w:val="20"/>
              </w:rPr>
              <w:t>k</w:t>
            </w:r>
            <w:r w:rsidRPr="009A466C">
              <w:rPr>
                <w:rFonts w:eastAsia="Times New Roman" w:cs="Times New Roman"/>
                <w:szCs w:val="20"/>
                <w:vertAlign w:val="subscript"/>
              </w:rPr>
              <w:t>max</w:t>
            </w:r>
            <w:proofErr w:type="spellEnd"/>
            <w:r w:rsidRPr="009A466C">
              <w:rPr>
                <w:rFonts w:eastAsia="Times New Roman" w:cs="Times New Roman"/>
                <w:szCs w:val="20"/>
                <w:vertAlign w:val="subscript"/>
              </w:rPr>
              <w:t xml:space="preserve"> </w:t>
            </w:r>
          </w:p>
        </w:tc>
        <w:tc>
          <w:tcPr>
            <w:tcW w:w="3010" w:type="dxa"/>
            <w:vAlign w:val="center"/>
          </w:tcPr>
          <w:p w14:paraId="26CF6DE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Enzyme turnover rate </w:t>
            </w:r>
          </w:p>
        </w:tc>
        <w:tc>
          <w:tcPr>
            <w:tcW w:w="2694" w:type="dxa"/>
            <w:vAlign w:val="center"/>
          </w:tcPr>
          <w:p w14:paraId="7EB771E8"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vmax</w:t>
            </w:r>
            <w:proofErr w:type="spellEnd"/>
            <w:r w:rsidRPr="009A466C">
              <w:rPr>
                <w:rFonts w:eastAsia="Times New Roman" w:cs="Times New Roman"/>
                <w:szCs w:val="20"/>
              </w:rPr>
              <w:t xml:space="preserve">= </w:t>
            </w:r>
            <w:proofErr w:type="spellStart"/>
            <w:r w:rsidRPr="009A466C">
              <w:rPr>
                <w:rFonts w:eastAsia="Times New Roman" w:cs="Times New Roman"/>
                <w:szCs w:val="20"/>
              </w:rPr>
              <w:t>k_cat</w:t>
            </w:r>
            <w:proofErr w:type="spellEnd"/>
            <w:r w:rsidRPr="009A466C">
              <w:rPr>
                <w:rFonts w:eastAsia="Times New Roman" w:cs="Times New Roman"/>
                <w:szCs w:val="20"/>
              </w:rPr>
              <w:t>*[</w:t>
            </w:r>
            <w:proofErr w:type="spellStart"/>
            <w:r w:rsidRPr="009A466C">
              <w:rPr>
                <w:rFonts w:eastAsia="Times New Roman" w:cs="Times New Roman"/>
                <w:szCs w:val="20"/>
              </w:rPr>
              <w:t>E_total</w:t>
            </w:r>
            <w:proofErr w:type="spellEnd"/>
            <w:r w:rsidRPr="009A466C">
              <w:rPr>
                <w:rFonts w:eastAsia="Times New Roman" w:cs="Times New Roman"/>
                <w:szCs w:val="20"/>
              </w:rPr>
              <w:t>]</w:t>
            </w:r>
          </w:p>
        </w:tc>
        <w:tc>
          <w:tcPr>
            <w:tcW w:w="1230" w:type="dxa"/>
            <w:vAlign w:val="center"/>
          </w:tcPr>
          <w:p w14:paraId="5E99C65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r1</w:t>
            </w:r>
          </w:p>
        </w:tc>
        <w:tc>
          <w:tcPr>
            <w:tcW w:w="1563" w:type="dxa"/>
            <w:vAlign w:val="center"/>
          </w:tcPr>
          <w:p w14:paraId="4C5A072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63F8276B" w14:textId="77777777" w:rsidTr="00810665">
        <w:trPr>
          <w:trHeight w:val="877"/>
        </w:trPr>
        <w:tc>
          <w:tcPr>
            <w:tcW w:w="1270" w:type="dxa"/>
            <w:vAlign w:val="center"/>
          </w:tcPr>
          <w:p w14:paraId="452D5897" w14:textId="77777777" w:rsidR="00A84E3D" w:rsidRPr="009A466C" w:rsidRDefault="00A84E3D" w:rsidP="00810665">
            <w:pPr>
              <w:spacing w:before="0" w:after="0"/>
              <w:rPr>
                <w:rFonts w:eastAsia="Times New Roman" w:cs="Times New Roman"/>
                <w:szCs w:val="20"/>
                <w:vertAlign w:val="subscript"/>
              </w:rPr>
            </w:pPr>
            <w:r w:rsidRPr="009A466C">
              <w:rPr>
                <w:rFonts w:eastAsia="Times New Roman" w:cs="Times New Roman"/>
                <w:szCs w:val="20"/>
              </w:rPr>
              <w:t>k</w:t>
            </w:r>
            <w:r w:rsidRPr="009A466C">
              <w:rPr>
                <w:rFonts w:eastAsia="Times New Roman" w:cs="Times New Roman"/>
                <w:szCs w:val="20"/>
                <w:vertAlign w:val="subscript"/>
              </w:rPr>
              <w:t xml:space="preserve">m </w:t>
            </w:r>
          </w:p>
        </w:tc>
        <w:tc>
          <w:tcPr>
            <w:tcW w:w="3010" w:type="dxa"/>
            <w:vAlign w:val="center"/>
          </w:tcPr>
          <w:p w14:paraId="77AC7F5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Michaelis-Menten constant (substrate affinity) </w:t>
            </w:r>
          </w:p>
        </w:tc>
        <w:tc>
          <w:tcPr>
            <w:tcW w:w="2694" w:type="dxa"/>
            <w:vAlign w:val="center"/>
          </w:tcPr>
          <w:p w14:paraId="2F9EB27B" w14:textId="5A367E95" w:rsidR="00A84E3D" w:rsidRPr="009A466C" w:rsidRDefault="008E2E9C" w:rsidP="00810665">
            <w:pPr>
              <w:spacing w:before="0" w:after="0"/>
              <w:rPr>
                <w:rFonts w:eastAsia="Times New Roman" w:cs="Times New Roman"/>
              </w:rPr>
            </w:pPr>
            <w:proofErr w:type="spellStart"/>
            <w:r w:rsidRPr="009A466C">
              <w:rPr>
                <w:rFonts w:eastAsia="Times New Roman" w:cs="Times New Roman"/>
                <w:szCs w:val="20"/>
              </w:rPr>
              <w:t>K_M_i_j</w:t>
            </w:r>
            <w:proofErr w:type="spellEnd"/>
            <w:r w:rsidR="16088B2C" w:rsidRPr="678B693E">
              <w:rPr>
                <w:rFonts w:eastAsia="Times New Roman" w:cs="Times New Roman"/>
              </w:rPr>
              <w:t xml:space="preserve"> is the </w:t>
            </w:r>
            <w:proofErr w:type="spellStart"/>
            <w:r w:rsidR="16088B2C" w:rsidRPr="678B693E">
              <w:rPr>
                <w:rFonts w:eastAsia="Times New Roman" w:cs="Times New Roman"/>
              </w:rPr>
              <w:t>Michaelis</w:t>
            </w:r>
            <w:proofErr w:type="spellEnd"/>
            <w:r w:rsidR="16088B2C" w:rsidRPr="678B693E">
              <w:rPr>
                <w:rFonts w:eastAsia="Times New Roman" w:cs="Times New Roman"/>
              </w:rPr>
              <w:t xml:space="preserve"> constant for activation of the </w:t>
            </w:r>
            <w:proofErr w:type="spellStart"/>
            <w:r w:rsidR="16088B2C" w:rsidRPr="678B693E">
              <w:rPr>
                <w:rFonts w:eastAsia="Times New Roman" w:cs="Times New Roman"/>
              </w:rPr>
              <w:t>i</w:t>
            </w:r>
            <w:r w:rsidR="16088B2C" w:rsidRPr="678B693E">
              <w:rPr>
                <w:rFonts w:eastAsia="Times New Roman" w:cs="Times New Roman"/>
                <w:vertAlign w:val="superscript"/>
              </w:rPr>
              <w:t>th</w:t>
            </w:r>
            <w:proofErr w:type="spellEnd"/>
            <w:r w:rsidR="16088B2C" w:rsidRPr="678B693E">
              <w:rPr>
                <w:rFonts w:eastAsia="Times New Roman" w:cs="Times New Roman"/>
              </w:rPr>
              <w:t xml:space="preserve"> reaction (regulatorily) by variable </w:t>
            </w:r>
            <w:proofErr w:type="spellStart"/>
            <w:r w:rsidR="16088B2C" w:rsidRPr="678B693E">
              <w:rPr>
                <w:rFonts w:eastAsia="Times New Roman" w:cs="Times New Roman"/>
              </w:rPr>
              <w:t>Cj</w:t>
            </w:r>
            <w:proofErr w:type="spellEnd"/>
            <w:r w:rsidR="16088B2C" w:rsidRPr="678B693E">
              <w:rPr>
                <w:rFonts w:eastAsia="Times New Roman" w:cs="Times New Roman"/>
              </w:rPr>
              <w:t xml:space="preserve"> </w:t>
            </w:r>
          </w:p>
        </w:tc>
        <w:tc>
          <w:tcPr>
            <w:tcW w:w="1230" w:type="dxa"/>
            <w:vAlign w:val="center"/>
          </w:tcPr>
          <w:p w14:paraId="7631EC3A"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r3</w:t>
            </w:r>
          </w:p>
        </w:tc>
        <w:tc>
          <w:tcPr>
            <w:tcW w:w="1563" w:type="dxa"/>
            <w:vAlign w:val="center"/>
          </w:tcPr>
          <w:p w14:paraId="74405B3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32BFB6E6" w14:textId="77777777" w:rsidTr="00810665">
        <w:trPr>
          <w:trHeight w:val="742"/>
        </w:trPr>
        <w:tc>
          <w:tcPr>
            <w:tcW w:w="1270" w:type="dxa"/>
            <w:vAlign w:val="center"/>
          </w:tcPr>
          <w:p w14:paraId="420D1700" w14:textId="77777777" w:rsidR="00A84E3D" w:rsidRPr="009A466C" w:rsidRDefault="00A84E3D" w:rsidP="00810665">
            <w:pPr>
              <w:spacing w:before="0" w:after="0"/>
              <w:rPr>
                <w:rFonts w:eastAsia="Times New Roman" w:cs="Times New Roman"/>
                <w:szCs w:val="20"/>
                <w:vertAlign w:val="subscript"/>
              </w:rPr>
            </w:pPr>
            <w:proofErr w:type="spellStart"/>
            <w:r w:rsidRPr="009A466C">
              <w:rPr>
                <w:rFonts w:eastAsia="Times New Roman" w:cs="Times New Roman"/>
                <w:szCs w:val="20"/>
              </w:rPr>
              <w:t>k</w:t>
            </w:r>
            <w:r w:rsidRPr="009A466C">
              <w:rPr>
                <w:rFonts w:eastAsia="Times New Roman" w:cs="Times New Roman"/>
                <w:szCs w:val="20"/>
                <w:vertAlign w:val="subscript"/>
              </w:rPr>
              <w:t>i</w:t>
            </w:r>
            <w:proofErr w:type="spellEnd"/>
            <w:r w:rsidRPr="009A466C">
              <w:rPr>
                <w:rFonts w:eastAsia="Times New Roman" w:cs="Times New Roman"/>
                <w:szCs w:val="20"/>
                <w:vertAlign w:val="subscript"/>
              </w:rPr>
              <w:t xml:space="preserve"> </w:t>
            </w:r>
          </w:p>
        </w:tc>
        <w:tc>
          <w:tcPr>
            <w:tcW w:w="3010" w:type="dxa"/>
            <w:vAlign w:val="center"/>
          </w:tcPr>
          <w:p w14:paraId="0B3840C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Inhibition constant for enzymes </w:t>
            </w:r>
          </w:p>
        </w:tc>
        <w:tc>
          <w:tcPr>
            <w:tcW w:w="2694" w:type="dxa"/>
            <w:vAlign w:val="center"/>
          </w:tcPr>
          <w:p w14:paraId="0818F938" w14:textId="3B85FFBD" w:rsidR="00A84E3D" w:rsidRPr="009A466C" w:rsidRDefault="008E2E9C" w:rsidP="00810665">
            <w:pPr>
              <w:spacing w:before="0" w:after="0"/>
              <w:rPr>
                <w:rFonts w:eastAsia="Times New Roman" w:cs="Times New Roman"/>
              </w:rPr>
            </w:pPr>
            <w:proofErr w:type="spellStart"/>
            <w:r w:rsidRPr="009A466C">
              <w:rPr>
                <w:rFonts w:eastAsia="Times New Roman" w:cs="Times New Roman"/>
                <w:szCs w:val="20"/>
              </w:rPr>
              <w:t>K_I_i_j</w:t>
            </w:r>
            <w:proofErr w:type="spellEnd"/>
            <w:r w:rsidRPr="009A466C">
              <w:rPr>
                <w:rFonts w:eastAsia="Times New Roman" w:cs="Times New Roman"/>
                <w:szCs w:val="20"/>
              </w:rPr>
              <w:t xml:space="preserve"> </w:t>
            </w:r>
            <w:r w:rsidR="16088B2C" w:rsidRPr="678B693E">
              <w:rPr>
                <w:rFonts w:eastAsia="Times New Roman" w:cs="Times New Roman"/>
              </w:rPr>
              <w:t xml:space="preserve">is the inhibition constant for the same </w:t>
            </w:r>
            <w:proofErr w:type="spellStart"/>
            <w:r w:rsidR="16088B2C" w:rsidRPr="678B693E">
              <w:rPr>
                <w:rFonts w:eastAsia="Times New Roman" w:cs="Times New Roman"/>
              </w:rPr>
              <w:t>i</w:t>
            </w:r>
            <w:r w:rsidR="16088B2C" w:rsidRPr="678B693E">
              <w:rPr>
                <w:rFonts w:eastAsia="Times New Roman" w:cs="Times New Roman"/>
                <w:vertAlign w:val="superscript"/>
              </w:rPr>
              <w:t>th</w:t>
            </w:r>
            <w:proofErr w:type="spellEnd"/>
            <w:r w:rsidR="16088B2C" w:rsidRPr="678B693E">
              <w:rPr>
                <w:rFonts w:eastAsia="Times New Roman" w:cs="Times New Roman"/>
              </w:rPr>
              <w:t xml:space="preserve"> reaction</w:t>
            </w:r>
          </w:p>
        </w:tc>
        <w:tc>
          <w:tcPr>
            <w:tcW w:w="1230" w:type="dxa"/>
            <w:vAlign w:val="center"/>
          </w:tcPr>
          <w:p w14:paraId="411D894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r4</w:t>
            </w:r>
          </w:p>
        </w:tc>
        <w:tc>
          <w:tcPr>
            <w:tcW w:w="1563" w:type="dxa"/>
            <w:vAlign w:val="center"/>
          </w:tcPr>
          <w:p w14:paraId="25290C0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3A655412" w14:textId="77777777" w:rsidTr="00810665">
        <w:trPr>
          <w:trHeight w:val="994"/>
        </w:trPr>
        <w:tc>
          <w:tcPr>
            <w:tcW w:w="1270" w:type="dxa"/>
            <w:vAlign w:val="center"/>
          </w:tcPr>
          <w:p w14:paraId="7FD8522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ΔG</w:t>
            </w:r>
          </w:p>
        </w:tc>
        <w:tc>
          <w:tcPr>
            <w:tcW w:w="3010" w:type="dxa"/>
            <w:vAlign w:val="center"/>
          </w:tcPr>
          <w:p w14:paraId="28D539C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Gibbs Free Energy for the reaction</w:t>
            </w:r>
          </w:p>
        </w:tc>
        <w:tc>
          <w:tcPr>
            <w:tcW w:w="2694" w:type="dxa"/>
            <w:vAlign w:val="center"/>
          </w:tcPr>
          <w:p w14:paraId="171742D2"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Used to determine directionality of reaction</w:t>
            </w:r>
          </w:p>
        </w:tc>
        <w:tc>
          <w:tcPr>
            <w:tcW w:w="1230" w:type="dxa"/>
            <w:vAlign w:val="center"/>
          </w:tcPr>
          <w:p w14:paraId="726B217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r5</w:t>
            </w:r>
          </w:p>
        </w:tc>
        <w:tc>
          <w:tcPr>
            <w:tcW w:w="1563" w:type="dxa"/>
            <w:vAlign w:val="center"/>
          </w:tcPr>
          <w:p w14:paraId="12F0C940"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36D47A5E" w14:textId="77777777" w:rsidTr="00810665">
        <w:trPr>
          <w:trHeight w:val="175"/>
        </w:trPr>
        <w:tc>
          <w:tcPr>
            <w:tcW w:w="1270" w:type="dxa"/>
            <w:vAlign w:val="center"/>
          </w:tcPr>
          <w:p w14:paraId="5C571CB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w:t>
            </w:r>
          </w:p>
        </w:tc>
        <w:tc>
          <w:tcPr>
            <w:tcW w:w="3010" w:type="dxa"/>
            <w:vAlign w:val="center"/>
          </w:tcPr>
          <w:p w14:paraId="14F6759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Universal Gas Constant</w:t>
            </w:r>
          </w:p>
        </w:tc>
        <w:tc>
          <w:tcPr>
            <w:tcW w:w="2694" w:type="dxa"/>
            <w:vAlign w:val="center"/>
          </w:tcPr>
          <w:p w14:paraId="4E0945FE" w14:textId="77777777" w:rsidR="00A84E3D" w:rsidRPr="009A466C" w:rsidRDefault="00A84E3D" w:rsidP="00810665">
            <w:pPr>
              <w:spacing w:before="0" w:after="0"/>
              <w:rPr>
                <w:rFonts w:eastAsia="Times New Roman" w:cs="Times New Roman"/>
                <w:szCs w:val="20"/>
              </w:rPr>
            </w:pPr>
          </w:p>
        </w:tc>
        <w:tc>
          <w:tcPr>
            <w:tcW w:w="1230" w:type="dxa"/>
            <w:vAlign w:val="center"/>
          </w:tcPr>
          <w:p w14:paraId="54CF06F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r5</w:t>
            </w:r>
          </w:p>
        </w:tc>
        <w:tc>
          <w:tcPr>
            <w:tcW w:w="1563" w:type="dxa"/>
            <w:vAlign w:val="center"/>
          </w:tcPr>
          <w:p w14:paraId="254A84C7"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w:t>
            </w:r>
          </w:p>
        </w:tc>
      </w:tr>
      <w:tr w:rsidR="00A84E3D" w:rsidRPr="009A466C" w14:paraId="4181FDB8" w14:textId="77777777" w:rsidTr="00810665">
        <w:trPr>
          <w:trHeight w:val="265"/>
        </w:trPr>
        <w:tc>
          <w:tcPr>
            <w:tcW w:w="1270" w:type="dxa"/>
            <w:vAlign w:val="center"/>
          </w:tcPr>
          <w:p w14:paraId="10674B3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T</w:t>
            </w:r>
          </w:p>
        </w:tc>
        <w:tc>
          <w:tcPr>
            <w:tcW w:w="3010" w:type="dxa"/>
            <w:vAlign w:val="center"/>
          </w:tcPr>
          <w:p w14:paraId="65BCE8A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Temperature (in Kelvin) </w:t>
            </w:r>
          </w:p>
        </w:tc>
        <w:tc>
          <w:tcPr>
            <w:tcW w:w="2694" w:type="dxa"/>
            <w:vAlign w:val="center"/>
          </w:tcPr>
          <w:p w14:paraId="1B370613" w14:textId="77777777" w:rsidR="00A84E3D" w:rsidRPr="009A466C" w:rsidRDefault="00A84E3D" w:rsidP="00810665">
            <w:pPr>
              <w:spacing w:before="0" w:after="0"/>
              <w:rPr>
                <w:rFonts w:eastAsia="Times New Roman" w:cs="Times New Roman"/>
                <w:szCs w:val="20"/>
              </w:rPr>
            </w:pPr>
          </w:p>
        </w:tc>
        <w:tc>
          <w:tcPr>
            <w:tcW w:w="1230" w:type="dxa"/>
            <w:vAlign w:val="center"/>
          </w:tcPr>
          <w:p w14:paraId="28F0B67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r5</w:t>
            </w:r>
          </w:p>
        </w:tc>
        <w:tc>
          <w:tcPr>
            <w:tcW w:w="1563" w:type="dxa"/>
            <w:vAlign w:val="center"/>
          </w:tcPr>
          <w:p w14:paraId="359573A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nm-km</w:t>
            </w:r>
          </w:p>
        </w:tc>
      </w:tr>
      <w:tr w:rsidR="00A84E3D" w:rsidRPr="009A466C" w14:paraId="628C25F0" w14:textId="77777777" w:rsidTr="00810665">
        <w:trPr>
          <w:trHeight w:val="445"/>
        </w:trPr>
        <w:tc>
          <w:tcPr>
            <w:tcW w:w="1270" w:type="dxa"/>
            <w:shd w:val="clear" w:color="auto" w:fill="D0CECE"/>
            <w:vAlign w:val="center"/>
          </w:tcPr>
          <w:p w14:paraId="32EF5CF4"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b/>
                <w:szCs w:val="20"/>
              </w:rPr>
              <w:lastRenderedPageBreak/>
              <w:t>Operators</w:t>
            </w:r>
          </w:p>
        </w:tc>
        <w:tc>
          <w:tcPr>
            <w:tcW w:w="3010" w:type="dxa"/>
            <w:shd w:val="clear" w:color="auto" w:fill="D0CECE"/>
            <w:vAlign w:val="center"/>
          </w:tcPr>
          <w:p w14:paraId="23CDBFB4" w14:textId="77777777" w:rsidR="00A84E3D" w:rsidRPr="009A466C" w:rsidRDefault="00A84E3D" w:rsidP="00810665">
            <w:pPr>
              <w:spacing w:before="0" w:after="0"/>
              <w:rPr>
                <w:rFonts w:eastAsia="Times New Roman" w:cs="Times New Roman"/>
                <w:szCs w:val="20"/>
              </w:rPr>
            </w:pPr>
            <w:r w:rsidRPr="009A466C">
              <w:rPr>
                <w:rFonts w:eastAsia="Times New Roman" w:cs="Times New Roman"/>
                <w:b/>
                <w:szCs w:val="20"/>
              </w:rPr>
              <w:t>Meaning/Definition</w:t>
            </w:r>
          </w:p>
        </w:tc>
        <w:tc>
          <w:tcPr>
            <w:tcW w:w="2694" w:type="dxa"/>
            <w:shd w:val="clear" w:color="auto" w:fill="D0CECE"/>
            <w:vAlign w:val="center"/>
          </w:tcPr>
          <w:p w14:paraId="274025AC" w14:textId="77777777" w:rsidR="00A84E3D" w:rsidRPr="009A466C" w:rsidRDefault="00A84E3D" w:rsidP="00810665">
            <w:pPr>
              <w:spacing w:before="0" w:after="0"/>
              <w:rPr>
                <w:rFonts w:eastAsia="Times New Roman" w:cs="Times New Roman"/>
                <w:szCs w:val="20"/>
              </w:rPr>
            </w:pPr>
            <w:r w:rsidRPr="009A466C">
              <w:rPr>
                <w:rFonts w:eastAsia="Times New Roman" w:cs="Times New Roman"/>
                <w:b/>
                <w:szCs w:val="20"/>
              </w:rPr>
              <w:t>Assumptions/Notes</w:t>
            </w:r>
          </w:p>
        </w:tc>
        <w:tc>
          <w:tcPr>
            <w:tcW w:w="1230" w:type="dxa"/>
            <w:shd w:val="clear" w:color="auto" w:fill="D0CECE"/>
            <w:vAlign w:val="center"/>
          </w:tcPr>
          <w:p w14:paraId="62F203AF" w14:textId="77777777" w:rsidR="00A84E3D" w:rsidRPr="009A466C" w:rsidRDefault="00A84E3D" w:rsidP="00810665">
            <w:pPr>
              <w:spacing w:before="0" w:after="0"/>
              <w:rPr>
                <w:rFonts w:eastAsia="Times New Roman" w:cs="Times New Roman"/>
                <w:b/>
                <w:szCs w:val="20"/>
              </w:rPr>
            </w:pPr>
          </w:p>
        </w:tc>
        <w:tc>
          <w:tcPr>
            <w:tcW w:w="1563" w:type="dxa"/>
            <w:shd w:val="clear" w:color="auto" w:fill="D0CECE"/>
            <w:vAlign w:val="center"/>
          </w:tcPr>
          <w:p w14:paraId="7984465C" w14:textId="77777777" w:rsidR="00A84E3D" w:rsidRPr="009A466C" w:rsidRDefault="00A84E3D" w:rsidP="00810665">
            <w:pPr>
              <w:spacing w:before="0" w:after="0"/>
              <w:rPr>
                <w:rFonts w:eastAsia="Times New Roman" w:cs="Times New Roman"/>
                <w:b/>
                <w:szCs w:val="20"/>
              </w:rPr>
            </w:pPr>
          </w:p>
        </w:tc>
      </w:tr>
      <w:tr w:rsidR="00A84E3D" w:rsidRPr="009A466C" w14:paraId="701B9553" w14:textId="77777777" w:rsidTr="00810665">
        <w:tc>
          <w:tcPr>
            <w:tcW w:w="1270" w:type="dxa"/>
            <w:vAlign w:val="center"/>
          </w:tcPr>
          <w:p w14:paraId="3598656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Forward arrow </w:t>
            </w:r>
          </w:p>
        </w:tc>
        <w:tc>
          <w:tcPr>
            <w:tcW w:w="3010" w:type="dxa"/>
            <w:vAlign w:val="center"/>
          </w:tcPr>
          <w:p w14:paraId="32769B2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Vector</w:t>
            </w:r>
          </w:p>
        </w:tc>
        <w:tc>
          <w:tcPr>
            <w:tcW w:w="2694" w:type="dxa"/>
            <w:vAlign w:val="center"/>
          </w:tcPr>
          <w:p w14:paraId="0B2BCBC4" w14:textId="77777777" w:rsidR="00A84E3D" w:rsidRPr="009A466C" w:rsidRDefault="00A84E3D" w:rsidP="00810665">
            <w:pPr>
              <w:spacing w:before="0" w:after="0"/>
              <w:rPr>
                <w:rFonts w:eastAsia="Times New Roman" w:cs="Times New Roman"/>
                <w:szCs w:val="20"/>
              </w:rPr>
            </w:pPr>
          </w:p>
        </w:tc>
        <w:tc>
          <w:tcPr>
            <w:tcW w:w="1230" w:type="dxa"/>
            <w:vAlign w:val="center"/>
          </w:tcPr>
          <w:p w14:paraId="2A34DD72" w14:textId="77777777" w:rsidR="00A84E3D" w:rsidRPr="009A466C" w:rsidRDefault="00A84E3D" w:rsidP="00810665">
            <w:pPr>
              <w:spacing w:before="0" w:after="0"/>
              <w:rPr>
                <w:rFonts w:eastAsia="Times New Roman" w:cs="Times New Roman"/>
                <w:szCs w:val="20"/>
              </w:rPr>
            </w:pPr>
          </w:p>
        </w:tc>
        <w:tc>
          <w:tcPr>
            <w:tcW w:w="1563" w:type="dxa"/>
            <w:vAlign w:val="center"/>
          </w:tcPr>
          <w:p w14:paraId="49201D94" w14:textId="77777777" w:rsidR="00A84E3D" w:rsidRPr="009A466C" w:rsidRDefault="00A84E3D" w:rsidP="00810665">
            <w:pPr>
              <w:spacing w:before="0" w:after="0"/>
              <w:rPr>
                <w:rFonts w:eastAsia="Times New Roman" w:cs="Times New Roman"/>
                <w:szCs w:val="20"/>
              </w:rPr>
            </w:pPr>
          </w:p>
        </w:tc>
      </w:tr>
      <w:tr w:rsidR="00A84E3D" w:rsidRPr="009A466C" w14:paraId="7C9188AE" w14:textId="77777777" w:rsidTr="00810665">
        <w:trPr>
          <w:trHeight w:val="868"/>
        </w:trPr>
        <w:tc>
          <w:tcPr>
            <w:tcW w:w="1270" w:type="dxa"/>
            <w:vAlign w:val="center"/>
          </w:tcPr>
          <w:p w14:paraId="6D3C73D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Hat ^ </w:t>
            </w:r>
          </w:p>
        </w:tc>
        <w:tc>
          <w:tcPr>
            <w:tcW w:w="3010" w:type="dxa"/>
            <w:vAlign w:val="center"/>
          </w:tcPr>
          <w:p w14:paraId="433494C3" w14:textId="77777777" w:rsidR="00A84E3D" w:rsidRPr="009A466C" w:rsidRDefault="00A84E3D" w:rsidP="00810665">
            <w:pPr>
              <w:spacing w:before="0" w:after="0"/>
              <w:rPr>
                <w:rFonts w:eastAsia="Times New Roman" w:cs="Times New Roman"/>
                <w:b/>
                <w:szCs w:val="20"/>
              </w:rPr>
            </w:pPr>
            <w:r w:rsidRPr="009A466C">
              <w:rPr>
                <w:rFonts w:eastAsia="Times New Roman" w:cs="Times New Roman"/>
                <w:szCs w:val="20"/>
              </w:rPr>
              <w:t xml:space="preserve">Hamiltonian vector, estimator, differential equation </w:t>
            </w:r>
            <w:r w:rsidRPr="009A466C">
              <w:rPr>
                <w:rFonts w:eastAsia="Times New Roman" w:cs="Times New Roman"/>
                <w:b/>
                <w:szCs w:val="20"/>
              </w:rPr>
              <w:t>Matrix</w:t>
            </w:r>
          </w:p>
        </w:tc>
        <w:tc>
          <w:tcPr>
            <w:tcW w:w="2694" w:type="dxa"/>
            <w:vAlign w:val="center"/>
          </w:tcPr>
          <w:p w14:paraId="533BC359" w14:textId="77777777" w:rsidR="00A84E3D" w:rsidRPr="009A466C" w:rsidRDefault="00A84E3D" w:rsidP="00810665">
            <w:pPr>
              <w:spacing w:before="0" w:after="0"/>
              <w:rPr>
                <w:rFonts w:eastAsia="Times New Roman" w:cs="Times New Roman"/>
                <w:szCs w:val="20"/>
              </w:rPr>
            </w:pPr>
          </w:p>
        </w:tc>
        <w:tc>
          <w:tcPr>
            <w:tcW w:w="1230" w:type="dxa"/>
            <w:vAlign w:val="center"/>
          </w:tcPr>
          <w:p w14:paraId="36C20440" w14:textId="77777777" w:rsidR="00A84E3D" w:rsidRPr="009A466C" w:rsidRDefault="00A84E3D" w:rsidP="00810665">
            <w:pPr>
              <w:spacing w:before="0" w:after="0"/>
              <w:rPr>
                <w:rFonts w:eastAsia="Times New Roman" w:cs="Times New Roman"/>
                <w:szCs w:val="20"/>
              </w:rPr>
            </w:pPr>
          </w:p>
        </w:tc>
        <w:tc>
          <w:tcPr>
            <w:tcW w:w="1563" w:type="dxa"/>
            <w:vAlign w:val="center"/>
          </w:tcPr>
          <w:p w14:paraId="4C29D9B3" w14:textId="77777777" w:rsidR="00A84E3D" w:rsidRPr="009A466C" w:rsidRDefault="00A84E3D" w:rsidP="00810665">
            <w:pPr>
              <w:spacing w:before="0" w:after="0"/>
              <w:rPr>
                <w:rFonts w:eastAsia="Times New Roman" w:cs="Times New Roman"/>
                <w:szCs w:val="20"/>
              </w:rPr>
            </w:pPr>
          </w:p>
        </w:tc>
      </w:tr>
      <w:tr w:rsidR="00A84E3D" w:rsidRPr="009A466C" w14:paraId="2876F672" w14:textId="77777777" w:rsidTr="00810665">
        <w:trPr>
          <w:trHeight w:val="886"/>
        </w:trPr>
        <w:tc>
          <w:tcPr>
            <w:tcW w:w="1270" w:type="dxa"/>
            <w:vAlign w:val="center"/>
          </w:tcPr>
          <w:p w14:paraId="7635878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δ/</w:t>
            </w:r>
            <w:proofErr w:type="spellStart"/>
            <w:r w:rsidRPr="009A466C">
              <w:rPr>
                <w:rFonts w:eastAsia="Times New Roman" w:cs="Times New Roman"/>
                <w:szCs w:val="20"/>
              </w:rPr>
              <w:t>δt</w:t>
            </w:r>
            <w:proofErr w:type="spellEnd"/>
            <w:r w:rsidRPr="009A466C">
              <w:rPr>
                <w:rFonts w:eastAsia="Times New Roman" w:cs="Times New Roman"/>
                <w:szCs w:val="20"/>
              </w:rPr>
              <w:t xml:space="preserve"> (delta,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7E9E0E4D"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Rate (partial derivative with respect to time)</w:t>
            </w:r>
          </w:p>
        </w:tc>
        <w:tc>
          <w:tcPr>
            <w:tcW w:w="2694" w:type="dxa"/>
            <w:vAlign w:val="center"/>
          </w:tcPr>
          <w:p w14:paraId="1097975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Appears to be part of a multivariate differential equation</w:t>
            </w:r>
          </w:p>
        </w:tc>
        <w:tc>
          <w:tcPr>
            <w:tcW w:w="1230" w:type="dxa"/>
            <w:vAlign w:val="center"/>
          </w:tcPr>
          <w:p w14:paraId="22957F5B" w14:textId="77777777" w:rsidR="00A84E3D" w:rsidRPr="009A466C" w:rsidRDefault="00A84E3D" w:rsidP="00810665">
            <w:pPr>
              <w:spacing w:before="0" w:after="0"/>
              <w:rPr>
                <w:rFonts w:eastAsia="Times New Roman" w:cs="Times New Roman"/>
                <w:szCs w:val="20"/>
              </w:rPr>
            </w:pPr>
          </w:p>
        </w:tc>
        <w:tc>
          <w:tcPr>
            <w:tcW w:w="1563" w:type="dxa"/>
            <w:vAlign w:val="center"/>
          </w:tcPr>
          <w:p w14:paraId="5C4399FA" w14:textId="77777777" w:rsidR="00A84E3D" w:rsidRPr="009A466C" w:rsidRDefault="00A84E3D" w:rsidP="00810665">
            <w:pPr>
              <w:spacing w:before="0" w:after="0"/>
              <w:rPr>
                <w:rFonts w:eastAsia="Times New Roman" w:cs="Times New Roman"/>
                <w:szCs w:val="20"/>
              </w:rPr>
            </w:pPr>
          </w:p>
        </w:tc>
      </w:tr>
      <w:tr w:rsidR="00A84E3D" w:rsidRPr="009A466C" w14:paraId="6C4A388C" w14:textId="77777777" w:rsidTr="00810665">
        <w:trPr>
          <w:trHeight w:val="976"/>
        </w:trPr>
        <w:tc>
          <w:tcPr>
            <w:tcW w:w="1270" w:type="dxa"/>
            <w:vAlign w:val="center"/>
          </w:tcPr>
          <w:p w14:paraId="76D93918"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δ/</w:t>
            </w:r>
            <w:proofErr w:type="spellStart"/>
            <w:r w:rsidRPr="009A466C">
              <w:rPr>
                <w:rFonts w:eastAsia="Times New Roman" w:cs="Times New Roman"/>
                <w:szCs w:val="20"/>
              </w:rPr>
              <w:t>δx</w:t>
            </w:r>
            <w:proofErr w:type="spellEnd"/>
            <w:r w:rsidRPr="009A466C">
              <w:rPr>
                <w:rFonts w:eastAsia="Times New Roman" w:cs="Times New Roman"/>
                <w:szCs w:val="20"/>
              </w:rPr>
              <w:t xml:space="preserve"> (delta,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06704B1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1</w:t>
            </w:r>
            <w:r w:rsidRPr="009A466C">
              <w:rPr>
                <w:rFonts w:eastAsia="Times New Roman" w:cs="Times New Roman"/>
                <w:szCs w:val="20"/>
                <w:vertAlign w:val="superscript"/>
              </w:rPr>
              <w:t>st</w:t>
            </w:r>
            <w:r w:rsidRPr="009A466C">
              <w:rPr>
                <w:rFonts w:eastAsia="Times New Roman" w:cs="Times New Roman"/>
                <w:szCs w:val="20"/>
              </w:rPr>
              <w:t xml:space="preserve"> derivative (partial derivative with respect to distance)</w:t>
            </w:r>
          </w:p>
        </w:tc>
        <w:tc>
          <w:tcPr>
            <w:tcW w:w="2694" w:type="dxa"/>
            <w:vAlign w:val="center"/>
          </w:tcPr>
          <w:p w14:paraId="1CFCED6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Appears to be part of a multivariate differential equation</w:t>
            </w:r>
          </w:p>
        </w:tc>
        <w:tc>
          <w:tcPr>
            <w:tcW w:w="1230" w:type="dxa"/>
            <w:vAlign w:val="center"/>
          </w:tcPr>
          <w:p w14:paraId="2E2C1F33" w14:textId="77777777" w:rsidR="00A84E3D" w:rsidRPr="009A466C" w:rsidRDefault="00A84E3D" w:rsidP="00810665">
            <w:pPr>
              <w:spacing w:before="0" w:after="0"/>
              <w:rPr>
                <w:rFonts w:eastAsia="Times New Roman" w:cs="Times New Roman"/>
                <w:szCs w:val="20"/>
              </w:rPr>
            </w:pPr>
          </w:p>
        </w:tc>
        <w:tc>
          <w:tcPr>
            <w:tcW w:w="1563" w:type="dxa"/>
            <w:vAlign w:val="center"/>
          </w:tcPr>
          <w:p w14:paraId="6DB5A365" w14:textId="77777777" w:rsidR="00A84E3D" w:rsidRPr="009A466C" w:rsidRDefault="00A84E3D" w:rsidP="00810665">
            <w:pPr>
              <w:spacing w:before="0" w:after="0"/>
              <w:rPr>
                <w:rFonts w:eastAsia="Times New Roman" w:cs="Times New Roman"/>
                <w:szCs w:val="20"/>
              </w:rPr>
            </w:pPr>
          </w:p>
        </w:tc>
      </w:tr>
      <w:tr w:rsidR="00A84E3D" w:rsidRPr="009A466C" w14:paraId="7FC647FF" w14:textId="77777777" w:rsidTr="00810665">
        <w:trPr>
          <w:trHeight w:val="985"/>
        </w:trPr>
        <w:tc>
          <w:tcPr>
            <w:tcW w:w="1270" w:type="dxa"/>
            <w:vAlign w:val="center"/>
          </w:tcPr>
          <w:p w14:paraId="7668518F"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δ</w:t>
            </w:r>
            <w:r w:rsidRPr="009A466C">
              <w:rPr>
                <w:rFonts w:eastAsia="Times New Roman" w:cs="Times New Roman"/>
                <w:szCs w:val="20"/>
                <w:vertAlign w:val="superscript"/>
              </w:rPr>
              <w:t>2</w:t>
            </w:r>
            <w:r w:rsidRPr="009A466C">
              <w:rPr>
                <w:rFonts w:eastAsia="Times New Roman" w:cs="Times New Roman"/>
                <w:szCs w:val="20"/>
              </w:rPr>
              <w:t>/δx</w:t>
            </w:r>
            <w:r w:rsidRPr="009A466C">
              <w:rPr>
                <w:rFonts w:eastAsia="Times New Roman" w:cs="Times New Roman"/>
                <w:szCs w:val="20"/>
                <w:vertAlign w:val="superscript"/>
              </w:rPr>
              <w:t>2</w:t>
            </w:r>
            <w:r w:rsidRPr="009A466C">
              <w:rPr>
                <w:rFonts w:eastAsia="Times New Roman" w:cs="Times New Roman"/>
                <w:szCs w:val="20"/>
              </w:rPr>
              <w:t xml:space="preserve"> (delta, </w:t>
            </w:r>
            <w:proofErr w:type="spellStart"/>
            <w:r w:rsidRPr="009A466C">
              <w:rPr>
                <w:rFonts w:eastAsia="Times New Roman" w:cs="Times New Roman"/>
                <w:szCs w:val="20"/>
              </w:rPr>
              <w:t>lc</w:t>
            </w:r>
            <w:proofErr w:type="spellEnd"/>
            <w:r w:rsidRPr="009A466C">
              <w:rPr>
                <w:rFonts w:eastAsia="Times New Roman" w:cs="Times New Roman"/>
                <w:szCs w:val="20"/>
              </w:rPr>
              <w:t>)</w:t>
            </w:r>
          </w:p>
        </w:tc>
        <w:tc>
          <w:tcPr>
            <w:tcW w:w="3010" w:type="dxa"/>
            <w:vAlign w:val="center"/>
          </w:tcPr>
          <w:p w14:paraId="1B0DE12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2</w:t>
            </w:r>
            <w:r w:rsidRPr="009A466C">
              <w:rPr>
                <w:rFonts w:eastAsia="Times New Roman" w:cs="Times New Roman"/>
                <w:szCs w:val="20"/>
                <w:vertAlign w:val="superscript"/>
              </w:rPr>
              <w:t>nd</w:t>
            </w:r>
            <w:r w:rsidRPr="009A466C">
              <w:rPr>
                <w:rFonts w:eastAsia="Times New Roman" w:cs="Times New Roman"/>
                <w:szCs w:val="20"/>
              </w:rPr>
              <w:t xml:space="preserve"> derivative (partial derivative with respect to distance) </w:t>
            </w:r>
          </w:p>
        </w:tc>
        <w:tc>
          <w:tcPr>
            <w:tcW w:w="2694" w:type="dxa"/>
            <w:vAlign w:val="center"/>
          </w:tcPr>
          <w:p w14:paraId="7E832E9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Appears to be part of a multivariate differential equation</w:t>
            </w:r>
          </w:p>
        </w:tc>
        <w:tc>
          <w:tcPr>
            <w:tcW w:w="1230" w:type="dxa"/>
            <w:vAlign w:val="center"/>
          </w:tcPr>
          <w:p w14:paraId="099E609F" w14:textId="77777777" w:rsidR="00A84E3D" w:rsidRPr="009A466C" w:rsidRDefault="00A84E3D" w:rsidP="00810665">
            <w:pPr>
              <w:spacing w:before="0" w:after="0"/>
              <w:rPr>
                <w:rFonts w:eastAsia="Times New Roman" w:cs="Times New Roman"/>
                <w:szCs w:val="20"/>
              </w:rPr>
            </w:pPr>
          </w:p>
        </w:tc>
        <w:tc>
          <w:tcPr>
            <w:tcW w:w="1563" w:type="dxa"/>
            <w:vAlign w:val="center"/>
          </w:tcPr>
          <w:p w14:paraId="1BED75A0" w14:textId="77777777" w:rsidR="00A84E3D" w:rsidRPr="009A466C" w:rsidRDefault="00A84E3D" w:rsidP="00810665">
            <w:pPr>
              <w:spacing w:before="0" w:after="0"/>
              <w:rPr>
                <w:rFonts w:eastAsia="Times New Roman" w:cs="Times New Roman"/>
                <w:szCs w:val="20"/>
              </w:rPr>
            </w:pPr>
          </w:p>
        </w:tc>
      </w:tr>
      <w:tr w:rsidR="00A84E3D" w:rsidRPr="009A466C" w14:paraId="2074514B" w14:textId="77777777" w:rsidTr="00810665">
        <w:trPr>
          <w:trHeight w:val="706"/>
        </w:trPr>
        <w:tc>
          <w:tcPr>
            <w:tcW w:w="1270" w:type="dxa"/>
            <w:vAlign w:val="center"/>
          </w:tcPr>
          <w:p w14:paraId="74C50FC6"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Σ (sigma, </w:t>
            </w:r>
            <w:proofErr w:type="spellStart"/>
            <w:r w:rsidRPr="009A466C">
              <w:rPr>
                <w:rFonts w:eastAsia="Times New Roman" w:cs="Times New Roman"/>
                <w:szCs w:val="20"/>
              </w:rPr>
              <w:t>uc</w:t>
            </w:r>
            <w:proofErr w:type="spellEnd"/>
            <w:r w:rsidRPr="009A466C">
              <w:rPr>
                <w:rFonts w:eastAsia="Times New Roman" w:cs="Times New Roman"/>
                <w:szCs w:val="20"/>
              </w:rPr>
              <w:t>)</w:t>
            </w:r>
          </w:p>
        </w:tc>
        <w:tc>
          <w:tcPr>
            <w:tcW w:w="3010" w:type="dxa"/>
            <w:vAlign w:val="center"/>
          </w:tcPr>
          <w:p w14:paraId="46FB0EC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Summation </w:t>
            </w:r>
          </w:p>
        </w:tc>
        <w:tc>
          <w:tcPr>
            <w:tcW w:w="2694" w:type="dxa"/>
            <w:vAlign w:val="center"/>
          </w:tcPr>
          <w:p w14:paraId="2873894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Repeated addition</w:t>
            </w:r>
          </w:p>
        </w:tc>
        <w:tc>
          <w:tcPr>
            <w:tcW w:w="1230" w:type="dxa"/>
            <w:vAlign w:val="center"/>
          </w:tcPr>
          <w:p w14:paraId="7366CC46" w14:textId="77777777" w:rsidR="00A84E3D" w:rsidRPr="009A466C" w:rsidRDefault="00A84E3D" w:rsidP="00810665">
            <w:pPr>
              <w:spacing w:before="0" w:after="0"/>
              <w:rPr>
                <w:rFonts w:eastAsia="Times New Roman" w:cs="Times New Roman"/>
                <w:szCs w:val="20"/>
              </w:rPr>
            </w:pPr>
          </w:p>
        </w:tc>
        <w:tc>
          <w:tcPr>
            <w:tcW w:w="1563" w:type="dxa"/>
            <w:vAlign w:val="center"/>
          </w:tcPr>
          <w:p w14:paraId="49B784F4" w14:textId="77777777" w:rsidR="00A84E3D" w:rsidRPr="009A466C" w:rsidRDefault="00A84E3D" w:rsidP="00810665">
            <w:pPr>
              <w:spacing w:before="0" w:after="0"/>
              <w:rPr>
                <w:rFonts w:eastAsia="Times New Roman" w:cs="Times New Roman"/>
                <w:szCs w:val="20"/>
              </w:rPr>
            </w:pPr>
          </w:p>
        </w:tc>
      </w:tr>
      <w:tr w:rsidR="00A84E3D" w:rsidRPr="009A466C" w14:paraId="5F971739" w14:textId="77777777" w:rsidTr="00810665">
        <w:trPr>
          <w:trHeight w:val="508"/>
        </w:trPr>
        <w:tc>
          <w:tcPr>
            <w:tcW w:w="1270" w:type="dxa"/>
            <w:vAlign w:val="center"/>
          </w:tcPr>
          <w:p w14:paraId="295F7D1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Π (pi, </w:t>
            </w:r>
            <w:proofErr w:type="spellStart"/>
            <w:r w:rsidRPr="009A466C">
              <w:rPr>
                <w:rFonts w:eastAsia="Times New Roman" w:cs="Times New Roman"/>
                <w:szCs w:val="20"/>
              </w:rPr>
              <w:t>uc</w:t>
            </w:r>
            <w:proofErr w:type="spellEnd"/>
            <w:r w:rsidRPr="009A466C">
              <w:rPr>
                <w:rFonts w:eastAsia="Times New Roman" w:cs="Times New Roman"/>
                <w:szCs w:val="20"/>
              </w:rPr>
              <w:t>)</w:t>
            </w:r>
          </w:p>
        </w:tc>
        <w:tc>
          <w:tcPr>
            <w:tcW w:w="3010" w:type="dxa"/>
            <w:vAlign w:val="center"/>
          </w:tcPr>
          <w:p w14:paraId="4F4FBDB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Product Notation </w:t>
            </w:r>
          </w:p>
        </w:tc>
        <w:tc>
          <w:tcPr>
            <w:tcW w:w="2694" w:type="dxa"/>
            <w:vAlign w:val="center"/>
          </w:tcPr>
          <w:p w14:paraId="412D085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Repeated multiplication</w:t>
            </w:r>
          </w:p>
        </w:tc>
        <w:tc>
          <w:tcPr>
            <w:tcW w:w="1230" w:type="dxa"/>
            <w:vAlign w:val="center"/>
          </w:tcPr>
          <w:p w14:paraId="77A4DD2B" w14:textId="77777777" w:rsidR="00A84E3D" w:rsidRPr="009A466C" w:rsidRDefault="00A84E3D" w:rsidP="00810665">
            <w:pPr>
              <w:spacing w:before="0" w:after="0"/>
              <w:rPr>
                <w:rFonts w:eastAsia="Times New Roman" w:cs="Times New Roman"/>
                <w:szCs w:val="20"/>
              </w:rPr>
            </w:pPr>
          </w:p>
        </w:tc>
        <w:tc>
          <w:tcPr>
            <w:tcW w:w="1563" w:type="dxa"/>
            <w:vAlign w:val="center"/>
          </w:tcPr>
          <w:p w14:paraId="0AC5C159" w14:textId="77777777" w:rsidR="00A84E3D" w:rsidRPr="009A466C" w:rsidRDefault="00A84E3D" w:rsidP="00810665">
            <w:pPr>
              <w:spacing w:before="0" w:after="0"/>
              <w:rPr>
                <w:rFonts w:eastAsia="Times New Roman" w:cs="Times New Roman"/>
                <w:szCs w:val="20"/>
              </w:rPr>
            </w:pPr>
          </w:p>
        </w:tc>
      </w:tr>
      <w:tr w:rsidR="00A84E3D" w:rsidRPr="009A466C" w14:paraId="6DCCE255" w14:textId="77777777" w:rsidTr="00810665">
        <w:trPr>
          <w:trHeight w:val="445"/>
        </w:trPr>
        <w:tc>
          <w:tcPr>
            <w:tcW w:w="1270" w:type="dxa"/>
            <w:vAlign w:val="center"/>
          </w:tcPr>
          <w:p w14:paraId="4262BFC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 </w:t>
            </w:r>
          </w:p>
        </w:tc>
        <w:tc>
          <w:tcPr>
            <w:tcW w:w="3010" w:type="dxa"/>
            <w:vAlign w:val="center"/>
          </w:tcPr>
          <w:p w14:paraId="6163CF2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Approximately equals</w:t>
            </w:r>
          </w:p>
        </w:tc>
        <w:tc>
          <w:tcPr>
            <w:tcW w:w="2694" w:type="dxa"/>
            <w:vAlign w:val="center"/>
          </w:tcPr>
          <w:p w14:paraId="4D0E8B78" w14:textId="77777777" w:rsidR="00A84E3D" w:rsidRPr="009A466C" w:rsidRDefault="00A84E3D" w:rsidP="00810665">
            <w:pPr>
              <w:spacing w:before="0" w:after="0"/>
              <w:rPr>
                <w:rFonts w:eastAsia="Times New Roman" w:cs="Times New Roman"/>
                <w:szCs w:val="20"/>
              </w:rPr>
            </w:pPr>
          </w:p>
        </w:tc>
        <w:tc>
          <w:tcPr>
            <w:tcW w:w="1230" w:type="dxa"/>
            <w:vAlign w:val="center"/>
          </w:tcPr>
          <w:p w14:paraId="420949F1" w14:textId="77777777" w:rsidR="00A84E3D" w:rsidRPr="009A466C" w:rsidRDefault="00A84E3D" w:rsidP="00810665">
            <w:pPr>
              <w:spacing w:before="0" w:after="0"/>
              <w:rPr>
                <w:rFonts w:eastAsia="Times New Roman" w:cs="Times New Roman"/>
                <w:szCs w:val="20"/>
              </w:rPr>
            </w:pPr>
          </w:p>
        </w:tc>
        <w:tc>
          <w:tcPr>
            <w:tcW w:w="1563" w:type="dxa"/>
            <w:vAlign w:val="center"/>
          </w:tcPr>
          <w:p w14:paraId="79668A19" w14:textId="77777777" w:rsidR="00A84E3D" w:rsidRPr="009A466C" w:rsidRDefault="00A84E3D" w:rsidP="00810665">
            <w:pPr>
              <w:spacing w:before="0" w:after="0"/>
              <w:rPr>
                <w:rFonts w:eastAsia="Times New Roman" w:cs="Times New Roman"/>
                <w:szCs w:val="20"/>
              </w:rPr>
            </w:pPr>
          </w:p>
        </w:tc>
      </w:tr>
      <w:tr w:rsidR="00A84E3D" w:rsidRPr="009A466C" w14:paraId="1CF6F4D1" w14:textId="77777777" w:rsidTr="00810665">
        <w:trPr>
          <w:trHeight w:val="526"/>
        </w:trPr>
        <w:tc>
          <w:tcPr>
            <w:tcW w:w="1270" w:type="dxa"/>
            <w:vAlign w:val="center"/>
          </w:tcPr>
          <w:p w14:paraId="6813BD74"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e</w:t>
            </w:r>
          </w:p>
        </w:tc>
        <w:tc>
          <w:tcPr>
            <w:tcW w:w="3010" w:type="dxa"/>
            <w:vAlign w:val="center"/>
          </w:tcPr>
          <w:p w14:paraId="5857FE9B"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Base of the natural log</w:t>
            </w:r>
          </w:p>
        </w:tc>
        <w:tc>
          <w:tcPr>
            <w:tcW w:w="2694" w:type="dxa"/>
            <w:vAlign w:val="center"/>
          </w:tcPr>
          <w:p w14:paraId="42CF56A0" w14:textId="77777777" w:rsidR="00A84E3D" w:rsidRPr="009A466C" w:rsidRDefault="00A84E3D" w:rsidP="00810665">
            <w:pPr>
              <w:spacing w:before="0" w:after="0"/>
              <w:rPr>
                <w:rFonts w:eastAsia="Times New Roman" w:cs="Times New Roman"/>
                <w:szCs w:val="20"/>
              </w:rPr>
            </w:pPr>
          </w:p>
        </w:tc>
        <w:tc>
          <w:tcPr>
            <w:tcW w:w="1230" w:type="dxa"/>
            <w:vAlign w:val="center"/>
          </w:tcPr>
          <w:p w14:paraId="273B1B8F" w14:textId="77777777" w:rsidR="00A84E3D" w:rsidRPr="009A466C" w:rsidRDefault="00A84E3D" w:rsidP="00810665">
            <w:pPr>
              <w:spacing w:before="0" w:after="0"/>
              <w:rPr>
                <w:rFonts w:eastAsia="Times New Roman" w:cs="Times New Roman"/>
                <w:szCs w:val="20"/>
              </w:rPr>
            </w:pPr>
          </w:p>
        </w:tc>
        <w:tc>
          <w:tcPr>
            <w:tcW w:w="1563" w:type="dxa"/>
            <w:vAlign w:val="center"/>
          </w:tcPr>
          <w:p w14:paraId="219CF1DA" w14:textId="77777777" w:rsidR="00A84E3D" w:rsidRPr="009A466C" w:rsidRDefault="00A84E3D" w:rsidP="00810665">
            <w:pPr>
              <w:spacing w:before="0" w:after="0"/>
              <w:rPr>
                <w:rFonts w:eastAsia="Times New Roman" w:cs="Times New Roman"/>
                <w:szCs w:val="20"/>
              </w:rPr>
            </w:pPr>
          </w:p>
        </w:tc>
      </w:tr>
      <w:tr w:rsidR="00A84E3D" w:rsidRPr="009A466C" w14:paraId="47AB5EE3" w14:textId="77777777" w:rsidTr="00810665">
        <w:tc>
          <w:tcPr>
            <w:tcW w:w="1270" w:type="dxa"/>
            <w:vAlign w:val="center"/>
          </w:tcPr>
          <w:p w14:paraId="491AA761"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w:t>
            </w:r>
          </w:p>
        </w:tc>
        <w:tc>
          <w:tcPr>
            <w:tcW w:w="3010" w:type="dxa"/>
            <w:vAlign w:val="center"/>
          </w:tcPr>
          <w:p w14:paraId="1E940995"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Groups variables such that they are operated on together </w:t>
            </w:r>
          </w:p>
        </w:tc>
        <w:tc>
          <w:tcPr>
            <w:tcW w:w="2694" w:type="dxa"/>
            <w:vAlign w:val="center"/>
          </w:tcPr>
          <w:p w14:paraId="30406EB3" w14:textId="77777777" w:rsidR="00A84E3D" w:rsidRPr="009A466C" w:rsidRDefault="00A84E3D" w:rsidP="00810665">
            <w:pPr>
              <w:spacing w:before="0" w:after="0"/>
              <w:rPr>
                <w:rFonts w:eastAsia="Times New Roman" w:cs="Times New Roman"/>
                <w:szCs w:val="20"/>
              </w:rPr>
            </w:pPr>
          </w:p>
        </w:tc>
        <w:tc>
          <w:tcPr>
            <w:tcW w:w="1230" w:type="dxa"/>
            <w:vAlign w:val="center"/>
          </w:tcPr>
          <w:p w14:paraId="32E38D23" w14:textId="77777777" w:rsidR="00A84E3D" w:rsidRPr="009A466C" w:rsidRDefault="00A84E3D" w:rsidP="00810665">
            <w:pPr>
              <w:spacing w:before="0" w:after="0"/>
              <w:rPr>
                <w:rFonts w:eastAsia="Times New Roman" w:cs="Times New Roman"/>
                <w:szCs w:val="20"/>
              </w:rPr>
            </w:pPr>
          </w:p>
        </w:tc>
        <w:tc>
          <w:tcPr>
            <w:tcW w:w="1563" w:type="dxa"/>
            <w:vAlign w:val="center"/>
          </w:tcPr>
          <w:p w14:paraId="5EAA55D3" w14:textId="77777777" w:rsidR="00A84E3D" w:rsidRPr="009A466C" w:rsidRDefault="00A84E3D" w:rsidP="00810665">
            <w:pPr>
              <w:spacing w:before="0" w:after="0"/>
              <w:rPr>
                <w:rFonts w:eastAsia="Times New Roman" w:cs="Times New Roman"/>
                <w:szCs w:val="20"/>
              </w:rPr>
            </w:pPr>
          </w:p>
        </w:tc>
      </w:tr>
      <w:tr w:rsidR="00A84E3D" w:rsidRPr="009A466C" w14:paraId="689130AB" w14:textId="77777777" w:rsidTr="00810665">
        <w:trPr>
          <w:trHeight w:val="418"/>
        </w:trPr>
        <w:tc>
          <w:tcPr>
            <w:tcW w:w="1270" w:type="dxa"/>
            <w:vAlign w:val="center"/>
          </w:tcPr>
          <w:p w14:paraId="1463FF23"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w:t>
            </w:r>
          </w:p>
        </w:tc>
        <w:tc>
          <w:tcPr>
            <w:tcW w:w="3010" w:type="dxa"/>
            <w:vAlign w:val="center"/>
          </w:tcPr>
          <w:p w14:paraId="5B3F9EEE"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Functional notation </w:t>
            </w:r>
          </w:p>
        </w:tc>
        <w:tc>
          <w:tcPr>
            <w:tcW w:w="2694" w:type="dxa"/>
            <w:vAlign w:val="center"/>
          </w:tcPr>
          <w:p w14:paraId="32C0F9A9" w14:textId="77777777" w:rsidR="00A84E3D" w:rsidRPr="009A466C" w:rsidRDefault="00A84E3D" w:rsidP="00810665">
            <w:pPr>
              <w:spacing w:before="0" w:after="0"/>
              <w:rPr>
                <w:rFonts w:eastAsia="Times New Roman" w:cs="Times New Roman"/>
                <w:szCs w:val="20"/>
              </w:rPr>
            </w:pPr>
          </w:p>
        </w:tc>
        <w:tc>
          <w:tcPr>
            <w:tcW w:w="1230" w:type="dxa"/>
            <w:vAlign w:val="center"/>
          </w:tcPr>
          <w:p w14:paraId="3036A322" w14:textId="77777777" w:rsidR="00A84E3D" w:rsidRPr="009A466C" w:rsidRDefault="00A84E3D" w:rsidP="00810665">
            <w:pPr>
              <w:spacing w:before="0" w:after="0"/>
              <w:rPr>
                <w:rFonts w:eastAsia="Times New Roman" w:cs="Times New Roman"/>
                <w:szCs w:val="20"/>
              </w:rPr>
            </w:pPr>
          </w:p>
        </w:tc>
        <w:tc>
          <w:tcPr>
            <w:tcW w:w="1563" w:type="dxa"/>
            <w:vAlign w:val="center"/>
          </w:tcPr>
          <w:p w14:paraId="3B1D27EB" w14:textId="77777777" w:rsidR="00A84E3D" w:rsidRPr="009A466C" w:rsidRDefault="00A84E3D" w:rsidP="00810665">
            <w:pPr>
              <w:spacing w:before="0" w:after="0"/>
              <w:rPr>
                <w:rFonts w:eastAsia="Times New Roman" w:cs="Times New Roman"/>
                <w:szCs w:val="20"/>
              </w:rPr>
            </w:pPr>
          </w:p>
        </w:tc>
      </w:tr>
      <w:tr w:rsidR="00A84E3D" w:rsidRPr="009A466C" w14:paraId="288031BC" w14:textId="77777777" w:rsidTr="00810665">
        <w:trPr>
          <w:trHeight w:val="436"/>
        </w:trPr>
        <w:tc>
          <w:tcPr>
            <w:tcW w:w="1270" w:type="dxa"/>
            <w:vAlign w:val="center"/>
          </w:tcPr>
          <w:p w14:paraId="25050935" w14:textId="77777777" w:rsidR="00A84E3D" w:rsidRPr="009A466C" w:rsidRDefault="00A84E3D" w:rsidP="00810665">
            <w:pPr>
              <w:spacing w:before="0" w:after="0"/>
              <w:rPr>
                <w:rFonts w:eastAsia="Times New Roman" w:cs="Times New Roman"/>
                <w:szCs w:val="20"/>
              </w:rPr>
            </w:pPr>
            <w:proofErr w:type="spellStart"/>
            <w:r w:rsidRPr="009A466C">
              <w:rPr>
                <w:rFonts w:eastAsia="Times New Roman" w:cs="Times New Roman"/>
                <w:szCs w:val="20"/>
              </w:rPr>
              <w:t>lc</w:t>
            </w:r>
            <w:proofErr w:type="spellEnd"/>
            <w:r w:rsidRPr="009A466C">
              <w:rPr>
                <w:rFonts w:eastAsia="Times New Roman" w:cs="Times New Roman"/>
                <w:szCs w:val="20"/>
              </w:rPr>
              <w:t xml:space="preserve">, </w:t>
            </w:r>
            <w:proofErr w:type="spellStart"/>
            <w:r w:rsidRPr="009A466C">
              <w:rPr>
                <w:rFonts w:eastAsia="Times New Roman" w:cs="Times New Roman"/>
                <w:szCs w:val="20"/>
              </w:rPr>
              <w:t>uc</w:t>
            </w:r>
            <w:proofErr w:type="spellEnd"/>
          </w:p>
        </w:tc>
        <w:tc>
          <w:tcPr>
            <w:tcW w:w="3010" w:type="dxa"/>
            <w:vAlign w:val="center"/>
          </w:tcPr>
          <w:p w14:paraId="4D3EFE1C" w14:textId="77777777" w:rsidR="00A84E3D" w:rsidRPr="009A466C" w:rsidRDefault="00A84E3D" w:rsidP="00810665">
            <w:pPr>
              <w:spacing w:before="0" w:after="0"/>
              <w:rPr>
                <w:rFonts w:eastAsia="Times New Roman" w:cs="Times New Roman"/>
                <w:szCs w:val="20"/>
              </w:rPr>
            </w:pPr>
            <w:r w:rsidRPr="009A466C">
              <w:rPr>
                <w:rFonts w:eastAsia="Times New Roman" w:cs="Times New Roman"/>
                <w:szCs w:val="20"/>
              </w:rPr>
              <w:t xml:space="preserve"> lower case, uppercase</w:t>
            </w:r>
          </w:p>
        </w:tc>
        <w:tc>
          <w:tcPr>
            <w:tcW w:w="2694" w:type="dxa"/>
            <w:vAlign w:val="center"/>
          </w:tcPr>
          <w:p w14:paraId="04A7596F" w14:textId="77777777" w:rsidR="00A84E3D" w:rsidRPr="009A466C" w:rsidRDefault="00A84E3D" w:rsidP="00810665">
            <w:pPr>
              <w:spacing w:before="0" w:after="0"/>
              <w:rPr>
                <w:rFonts w:eastAsia="Times New Roman" w:cs="Times New Roman"/>
                <w:szCs w:val="20"/>
              </w:rPr>
            </w:pPr>
          </w:p>
        </w:tc>
        <w:tc>
          <w:tcPr>
            <w:tcW w:w="1230" w:type="dxa"/>
            <w:vAlign w:val="center"/>
          </w:tcPr>
          <w:p w14:paraId="231EA1F6" w14:textId="77777777" w:rsidR="00A84E3D" w:rsidRPr="009A466C" w:rsidRDefault="00A84E3D" w:rsidP="00810665">
            <w:pPr>
              <w:spacing w:before="0" w:after="0"/>
              <w:rPr>
                <w:rFonts w:eastAsia="Times New Roman" w:cs="Times New Roman"/>
                <w:szCs w:val="20"/>
              </w:rPr>
            </w:pPr>
          </w:p>
        </w:tc>
        <w:tc>
          <w:tcPr>
            <w:tcW w:w="1563" w:type="dxa"/>
            <w:vAlign w:val="center"/>
          </w:tcPr>
          <w:p w14:paraId="69381B67" w14:textId="77777777" w:rsidR="00A84E3D" w:rsidRPr="009A466C" w:rsidRDefault="00A84E3D" w:rsidP="00810665">
            <w:pPr>
              <w:spacing w:before="0" w:after="0"/>
              <w:rPr>
                <w:rFonts w:eastAsia="Times New Roman" w:cs="Times New Roman"/>
                <w:szCs w:val="20"/>
              </w:rPr>
            </w:pPr>
          </w:p>
        </w:tc>
      </w:tr>
    </w:tbl>
    <w:p w14:paraId="5900C1AD" w14:textId="77777777" w:rsidR="00A84E3D" w:rsidRDefault="00A84E3D" w:rsidP="00A84E3D">
      <w:pPr>
        <w:widowControl w:val="0"/>
        <w:pBdr>
          <w:top w:val="nil"/>
          <w:left w:val="nil"/>
          <w:bottom w:val="nil"/>
          <w:right w:val="nil"/>
          <w:between w:val="nil"/>
        </w:pBdr>
        <w:spacing w:after="0" w:line="276" w:lineRule="auto"/>
        <w:rPr>
          <w:rFonts w:ascii="Arial" w:eastAsia="Arial" w:hAnsi="Arial" w:cs="Arial"/>
        </w:rPr>
      </w:pPr>
    </w:p>
    <w:p w14:paraId="1D8C5420" w14:textId="77777777" w:rsidR="00386BA9" w:rsidRDefault="00386BA9">
      <w:pPr>
        <w:spacing w:before="0" w:after="200" w:line="276" w:lineRule="auto"/>
        <w:rPr>
          <w:rFonts w:ascii="Arial" w:eastAsia="Arial" w:hAnsi="Arial" w:cs="Arial"/>
        </w:rPr>
      </w:pPr>
      <w:r>
        <w:rPr>
          <w:rFonts w:ascii="Arial" w:eastAsia="Arial" w:hAnsi="Arial" w:cs="Arial"/>
        </w:rPr>
        <w:br w:type="page"/>
      </w:r>
    </w:p>
    <w:p w14:paraId="152B3A14" w14:textId="6B027E13" w:rsidR="0092548E" w:rsidRPr="001549D3" w:rsidRDefault="0092548E" w:rsidP="0092548E">
      <w:pPr>
        <w:pStyle w:val="SupplementaryMaterial"/>
        <w:rPr>
          <w:b w:val="0"/>
        </w:rPr>
      </w:pPr>
      <w:r>
        <w:lastRenderedPageBreak/>
        <w:t>Tu</w:t>
      </w:r>
      <w:r w:rsidR="006653B6">
        <w:t>torial</w:t>
      </w:r>
    </w:p>
    <w:p w14:paraId="24CED748" w14:textId="77777777" w:rsidR="00FF55A0" w:rsidRPr="00FF55A0" w:rsidRDefault="00FF55A0" w:rsidP="00FF55A0">
      <w:pPr>
        <w:spacing w:before="0" w:after="0"/>
        <w:rPr>
          <w:rFonts w:eastAsia="Times New Roman" w:cs="Times New Roman"/>
          <w:szCs w:val="24"/>
        </w:rPr>
      </w:pPr>
      <w:r w:rsidRPr="00FF55A0">
        <w:rPr>
          <w:rFonts w:eastAsia="Times New Roman" w:cs="Times New Roman"/>
          <w:b/>
          <w:bCs/>
          <w:color w:val="000000"/>
          <w:szCs w:val="24"/>
        </w:rPr>
        <w:t>Tutorial for Example of Using Iterative Operations of FICSME to Study Nitrous Oxide Flux Emissions from Terrestrial Sedimentary Microbiomes. </w:t>
      </w:r>
    </w:p>
    <w:p w14:paraId="2E25ADC3" w14:textId="77777777" w:rsidR="00FF55A0" w:rsidRPr="00FF55A0" w:rsidRDefault="00FF55A0" w:rsidP="00FF55A0">
      <w:pPr>
        <w:spacing w:before="0" w:after="0"/>
        <w:rPr>
          <w:rFonts w:eastAsia="Times New Roman" w:cs="Times New Roman"/>
          <w:szCs w:val="24"/>
        </w:rPr>
      </w:pPr>
    </w:p>
    <w:p w14:paraId="7687EC0D" w14:textId="2CA89DD5" w:rsidR="00FF55A0" w:rsidRPr="00FF55A0" w:rsidRDefault="00FF55A0" w:rsidP="00FF55A0">
      <w:pPr>
        <w:spacing w:before="0" w:after="0"/>
        <w:ind w:firstLine="720"/>
        <w:rPr>
          <w:rFonts w:eastAsia="Times New Roman" w:cs="Times New Roman"/>
        </w:rPr>
      </w:pPr>
      <w:r w:rsidRPr="3DC7517D">
        <w:rPr>
          <w:rFonts w:eastAsia="Times New Roman" w:cs="Times New Roman"/>
          <w:color w:val="000000" w:themeColor="text1"/>
        </w:rPr>
        <w:t xml:space="preserve">Below we seek to outline step by step how to use FICSME to complete one experimental cycle. This tutorial </w:t>
      </w:r>
      <w:r w:rsidR="2A621BB5" w:rsidRPr="72A04B21">
        <w:rPr>
          <w:rFonts w:eastAsia="Times New Roman" w:cs="Times New Roman"/>
          <w:color w:val="000000" w:themeColor="text1"/>
        </w:rPr>
        <w:t>demonstrate</w:t>
      </w:r>
      <w:r w:rsidR="0AFF2948" w:rsidRPr="72A04B21">
        <w:rPr>
          <w:rFonts w:eastAsia="Times New Roman" w:cs="Times New Roman"/>
          <w:color w:val="000000" w:themeColor="text1"/>
        </w:rPr>
        <w:t>s</w:t>
      </w:r>
      <w:r w:rsidRPr="3DC7517D">
        <w:rPr>
          <w:rFonts w:eastAsia="Times New Roman" w:cs="Times New Roman"/>
          <w:color w:val="000000" w:themeColor="text1"/>
        </w:rPr>
        <w:t xml:space="preserve"> the integration of the equation-based model with the overall process using a pertinent knowledge gap in microbial ecology as an example. The tutorial outlines one experimental cycle for one hypothesis but describes the points at which iteration may occur to either refine the model or to add additional processes and hypotheses and how the decision to iterate should be made. This example is not meant to be comprehensive nor complete</w:t>
      </w:r>
      <w:r w:rsidR="5D5DBDEA" w:rsidRPr="2306DD14">
        <w:rPr>
          <w:rFonts w:eastAsia="Times New Roman" w:cs="Times New Roman"/>
          <w:color w:val="000000" w:themeColor="text1"/>
        </w:rPr>
        <w:t>,</w:t>
      </w:r>
      <w:r w:rsidRPr="3DC7517D">
        <w:rPr>
          <w:rFonts w:eastAsia="Times New Roman" w:cs="Times New Roman"/>
          <w:color w:val="000000" w:themeColor="text1"/>
        </w:rPr>
        <w:t xml:space="preserve"> but rather instructive on how to approach using FICSME. </w:t>
      </w:r>
    </w:p>
    <w:p w14:paraId="5777A33C" w14:textId="77777777" w:rsidR="00FF55A0" w:rsidRPr="00FF55A0" w:rsidRDefault="00FF55A0" w:rsidP="00FF55A0">
      <w:pPr>
        <w:spacing w:before="0" w:after="0"/>
        <w:rPr>
          <w:rFonts w:eastAsia="Times New Roman" w:cs="Times New Roman"/>
          <w:szCs w:val="24"/>
        </w:rPr>
      </w:pPr>
    </w:p>
    <w:p w14:paraId="23BE2005" w14:textId="77777777" w:rsidR="00FF55A0" w:rsidRPr="00A737C5" w:rsidRDefault="00FF55A0" w:rsidP="00FF55A0">
      <w:pPr>
        <w:spacing w:before="0" w:after="0"/>
        <w:rPr>
          <w:rFonts w:eastAsia="Times New Roman" w:cs="Times New Roman"/>
          <w:sz w:val="28"/>
          <w:szCs w:val="28"/>
        </w:rPr>
      </w:pPr>
      <w:r w:rsidRPr="00A737C5">
        <w:rPr>
          <w:rFonts w:eastAsia="Times New Roman" w:cs="Times New Roman"/>
          <w:b/>
          <w:color w:val="000000" w:themeColor="text1"/>
          <w:sz w:val="28"/>
          <w:szCs w:val="28"/>
        </w:rPr>
        <w:t>Step 1:</w:t>
      </w:r>
    </w:p>
    <w:p w14:paraId="4220260A" w14:textId="330DA9D5" w:rsidR="25FBD9A6" w:rsidRDefault="25FBD9A6" w:rsidP="25FBD9A6">
      <w:pPr>
        <w:spacing w:before="0" w:after="0"/>
        <w:rPr>
          <w:rFonts w:eastAsia="Times New Roman" w:cs="Times New Roman"/>
          <w:color w:val="000000" w:themeColor="text1"/>
          <w:u w:val="single"/>
        </w:rPr>
      </w:pPr>
    </w:p>
    <w:p w14:paraId="4FDF36E2" w14:textId="77777777" w:rsidR="00FF55A0" w:rsidRPr="00FF55A0" w:rsidRDefault="00FF55A0" w:rsidP="00FF55A0">
      <w:pPr>
        <w:spacing w:before="0" w:after="0"/>
        <w:rPr>
          <w:rFonts w:eastAsia="Times New Roman" w:cs="Times New Roman"/>
          <w:szCs w:val="24"/>
        </w:rPr>
      </w:pPr>
      <w:r w:rsidRPr="00FF55A0">
        <w:rPr>
          <w:rFonts w:eastAsia="Times New Roman" w:cs="Times New Roman"/>
          <w:color w:val="000000"/>
          <w:szCs w:val="24"/>
          <w:u w:val="single"/>
        </w:rPr>
        <w:t>State the Problem</w:t>
      </w:r>
      <w:r w:rsidRPr="00FF55A0">
        <w:rPr>
          <w:rFonts w:eastAsia="Times New Roman" w:cs="Times New Roman"/>
          <w:color w:val="000000"/>
          <w:szCs w:val="24"/>
        </w:rPr>
        <w:t>: </w:t>
      </w:r>
    </w:p>
    <w:p w14:paraId="4149587D" w14:textId="0036CFCD" w:rsidR="00FF55A0" w:rsidRPr="00FF55A0" w:rsidRDefault="00FF55A0" w:rsidP="00FF55A0">
      <w:pPr>
        <w:spacing w:before="0" w:after="0"/>
        <w:ind w:firstLine="720"/>
        <w:rPr>
          <w:rFonts w:eastAsia="Times New Roman" w:cs="Times New Roman"/>
          <w:szCs w:val="24"/>
        </w:rPr>
      </w:pPr>
      <w:r w:rsidRPr="7BDC62CE">
        <w:rPr>
          <w:rFonts w:eastAsia="Times New Roman" w:cs="Times New Roman"/>
          <w:color w:val="000000" w:themeColor="text1"/>
        </w:rPr>
        <w:t xml:space="preserve">Contamination at </w:t>
      </w:r>
      <w:r w:rsidR="25CF4DE2" w:rsidRPr="7BDC62CE">
        <w:rPr>
          <w:rFonts w:eastAsia="Times New Roman" w:cs="Times New Roman"/>
          <w:color w:val="000000" w:themeColor="text1"/>
        </w:rPr>
        <w:t>the Oak Ridge Reservation (</w:t>
      </w:r>
      <w:r w:rsidRPr="7BDC62CE">
        <w:rPr>
          <w:rFonts w:eastAsia="Times New Roman" w:cs="Times New Roman"/>
          <w:color w:val="000000" w:themeColor="text1"/>
        </w:rPr>
        <w:t>ORR</w:t>
      </w:r>
      <w:r w:rsidR="0092DF5B" w:rsidRPr="7BDC62CE">
        <w:rPr>
          <w:rFonts w:eastAsia="Times New Roman" w:cs="Times New Roman"/>
          <w:color w:val="000000" w:themeColor="text1"/>
        </w:rPr>
        <w:t>)</w:t>
      </w:r>
      <w:r w:rsidRPr="7BDC62CE">
        <w:rPr>
          <w:rFonts w:eastAsia="Times New Roman" w:cs="Times New Roman"/>
          <w:color w:val="000000" w:themeColor="text1"/>
        </w:rPr>
        <w:t xml:space="preserve"> consists of a low pH, high nitrate, high toxic metal plume that is leaching into the Bear Creek Valley (see Box 3, paragraph 1). Nitrous oxide (N</w:t>
      </w:r>
      <w:r w:rsidRPr="7BDC62CE">
        <w:rPr>
          <w:rFonts w:eastAsia="Times New Roman" w:cs="Times New Roman"/>
          <w:color w:val="000000" w:themeColor="text1"/>
          <w:sz w:val="14"/>
          <w:szCs w:val="14"/>
          <w:vertAlign w:val="subscript"/>
        </w:rPr>
        <w:t>2</w:t>
      </w:r>
      <w:r w:rsidRPr="7BDC62CE">
        <w:rPr>
          <w:rFonts w:eastAsia="Times New Roman" w:cs="Times New Roman"/>
          <w:color w:val="000000" w:themeColor="text1"/>
        </w:rPr>
        <w:t>O) off-gassing from nitrate contaminated soils and sediments is a both an abiotic and microbial-mediated process that contributes a harmful greenhouse gas to the problem of climate change. </w:t>
      </w:r>
    </w:p>
    <w:p w14:paraId="5766EC72" w14:textId="2A90FBDF" w:rsidR="25FBD9A6" w:rsidRDefault="25FBD9A6" w:rsidP="25FBD9A6">
      <w:pPr>
        <w:spacing w:before="0" w:after="0"/>
        <w:rPr>
          <w:rFonts w:eastAsia="Times New Roman" w:cs="Times New Roman"/>
          <w:color w:val="000000" w:themeColor="text1"/>
          <w:u w:val="single"/>
        </w:rPr>
      </w:pPr>
    </w:p>
    <w:p w14:paraId="35D48BD4" w14:textId="77777777" w:rsidR="00FF55A0" w:rsidRPr="00FF55A0" w:rsidRDefault="00FF55A0" w:rsidP="00FF55A0">
      <w:pPr>
        <w:spacing w:before="0" w:after="0"/>
        <w:rPr>
          <w:rFonts w:eastAsia="Times New Roman" w:cs="Times New Roman"/>
          <w:szCs w:val="24"/>
        </w:rPr>
      </w:pPr>
      <w:r w:rsidRPr="00FF55A0">
        <w:rPr>
          <w:rFonts w:eastAsia="Times New Roman" w:cs="Times New Roman"/>
          <w:color w:val="000000"/>
          <w:szCs w:val="24"/>
          <w:u w:val="single"/>
        </w:rPr>
        <w:t>Pose Overarching Research Question</w:t>
      </w:r>
      <w:r w:rsidRPr="00FF55A0">
        <w:rPr>
          <w:rFonts w:eastAsia="Times New Roman" w:cs="Times New Roman"/>
          <w:color w:val="000000"/>
          <w:szCs w:val="24"/>
        </w:rPr>
        <w:t>: </w:t>
      </w:r>
    </w:p>
    <w:p w14:paraId="36050461" w14:textId="77777777" w:rsidR="00FF55A0" w:rsidRPr="00FF55A0" w:rsidRDefault="00FF55A0" w:rsidP="00FF55A0">
      <w:pPr>
        <w:spacing w:before="0" w:after="0"/>
        <w:ind w:firstLine="720"/>
        <w:rPr>
          <w:rFonts w:eastAsia="Times New Roman" w:cs="Times New Roman"/>
          <w:szCs w:val="24"/>
        </w:rPr>
      </w:pPr>
      <w:r w:rsidRPr="00FF55A0">
        <w:rPr>
          <w:rFonts w:eastAsia="Times New Roman" w:cs="Times New Roman"/>
          <w:color w:val="000000"/>
          <w:szCs w:val="24"/>
        </w:rPr>
        <w:t>This leads to the overarching research question of “What are the microbial and geochemical controls on nitrous oxide fluxes from the heavily nitrate contaminated subsurface at the Oak Ridge Reservation?”</w:t>
      </w:r>
    </w:p>
    <w:p w14:paraId="7985D833" w14:textId="77777777" w:rsidR="00FF55A0" w:rsidRPr="00FF55A0" w:rsidRDefault="00FF55A0" w:rsidP="00FF55A0">
      <w:pPr>
        <w:spacing w:before="0" w:after="0"/>
        <w:rPr>
          <w:rFonts w:eastAsia="Times New Roman" w:cs="Times New Roman"/>
          <w:szCs w:val="24"/>
        </w:rPr>
      </w:pPr>
    </w:p>
    <w:p w14:paraId="1EC40A00" w14:textId="77777777" w:rsidR="00FF55A0" w:rsidRPr="00A737C5" w:rsidRDefault="00FF55A0" w:rsidP="00FF55A0">
      <w:pPr>
        <w:spacing w:before="0" w:after="0"/>
        <w:rPr>
          <w:rFonts w:eastAsia="Times New Roman" w:cs="Times New Roman"/>
          <w:sz w:val="28"/>
          <w:szCs w:val="28"/>
        </w:rPr>
      </w:pPr>
      <w:r w:rsidRPr="00A737C5">
        <w:rPr>
          <w:rFonts w:eastAsia="Times New Roman" w:cs="Times New Roman"/>
          <w:b/>
          <w:color w:val="000000" w:themeColor="text1"/>
          <w:sz w:val="28"/>
          <w:szCs w:val="28"/>
        </w:rPr>
        <w:t>Step 2: </w:t>
      </w:r>
    </w:p>
    <w:p w14:paraId="50B5B1BA" w14:textId="40F22BB2" w:rsidR="25FBD9A6" w:rsidRDefault="25FBD9A6" w:rsidP="25FBD9A6">
      <w:pPr>
        <w:spacing w:before="0" w:after="0"/>
        <w:rPr>
          <w:rFonts w:eastAsia="Times New Roman" w:cs="Times New Roman"/>
          <w:color w:val="000000" w:themeColor="text1"/>
          <w:u w:val="single"/>
        </w:rPr>
      </w:pPr>
    </w:p>
    <w:p w14:paraId="61C06403" w14:textId="77777777" w:rsidR="00FF55A0" w:rsidRPr="00FF55A0" w:rsidRDefault="00FF55A0" w:rsidP="00FF55A0">
      <w:pPr>
        <w:spacing w:before="0" w:after="0"/>
        <w:rPr>
          <w:rFonts w:eastAsia="Times New Roman" w:cs="Times New Roman"/>
          <w:szCs w:val="24"/>
        </w:rPr>
      </w:pPr>
      <w:r w:rsidRPr="00FF55A0">
        <w:rPr>
          <w:rFonts w:eastAsia="Times New Roman" w:cs="Times New Roman"/>
          <w:color w:val="000000"/>
          <w:szCs w:val="24"/>
          <w:u w:val="single"/>
        </w:rPr>
        <w:t>Generate Specific Testable Hypothesis:</w:t>
      </w:r>
      <w:r w:rsidRPr="00FF55A0">
        <w:rPr>
          <w:rFonts w:eastAsia="Times New Roman" w:cs="Times New Roman"/>
          <w:color w:val="000000"/>
          <w:szCs w:val="24"/>
        </w:rPr>
        <w:t>  </w:t>
      </w:r>
    </w:p>
    <w:p w14:paraId="2CC9A1E8" w14:textId="5BBBC1C7" w:rsidR="00FF55A0" w:rsidRPr="00FF55A0" w:rsidRDefault="00FF55A0" w:rsidP="00FF55A0">
      <w:pPr>
        <w:spacing w:before="0" w:after="0"/>
        <w:ind w:firstLine="720"/>
        <w:rPr>
          <w:rFonts w:eastAsia="Times New Roman" w:cs="Times New Roman"/>
          <w:szCs w:val="24"/>
        </w:rPr>
      </w:pPr>
      <w:r w:rsidRPr="00FF55A0">
        <w:rPr>
          <w:rFonts w:eastAsia="Times New Roman" w:cs="Times New Roman"/>
          <w:color w:val="000000"/>
          <w:szCs w:val="24"/>
        </w:rPr>
        <w:t>While biotic N</w:t>
      </w:r>
      <w:r w:rsidRPr="00FF55A0">
        <w:rPr>
          <w:rFonts w:eastAsia="Times New Roman" w:cs="Times New Roman"/>
          <w:color w:val="000000"/>
          <w:sz w:val="14"/>
          <w:szCs w:val="14"/>
          <w:vertAlign w:val="subscript"/>
        </w:rPr>
        <w:t>2</w:t>
      </w:r>
      <w:r w:rsidRPr="00FF55A0">
        <w:rPr>
          <w:rFonts w:eastAsia="Times New Roman" w:cs="Times New Roman"/>
          <w:color w:val="000000"/>
          <w:szCs w:val="24"/>
        </w:rPr>
        <w:t xml:space="preserve">O is produced in part by microbial metabolisms collectively carrying out denitrification, the rates and amount produced and released is controlled by the geochemistry of the site. Geochemical regulations on this microbial process would include carbon source, nutrient and cofactor availability, physical community structure in the subsurface, and the ability of gasses to diffuse through the subsurface. Abiotic processes can also contribute to nitrous oxide fluxes, as some minerals and inorganic ions can catalyze </w:t>
      </w:r>
      <w:proofErr w:type="spellStart"/>
      <w:r w:rsidRPr="00FF55A0">
        <w:rPr>
          <w:rFonts w:eastAsia="Times New Roman" w:cs="Times New Roman"/>
          <w:color w:val="000000"/>
          <w:szCs w:val="24"/>
        </w:rPr>
        <w:t>chemodenitrification</w:t>
      </w:r>
      <w:proofErr w:type="spellEnd"/>
      <w:r w:rsidRPr="00FF55A0">
        <w:rPr>
          <w:rFonts w:eastAsia="Times New Roman" w:cs="Times New Roman"/>
          <w:color w:val="000000"/>
          <w:szCs w:val="24"/>
        </w:rPr>
        <w:t xml:space="preserve">. Based on the previous work by the ENIGMA project described in Box 3 and summarized in the tables below, which revealed the association of geochemical and microbial respiration activity measurements at the same depth, we can hypothesize that </w:t>
      </w:r>
      <w:r w:rsidRPr="00FF55A0">
        <w:rPr>
          <w:rFonts w:eastAsia="Times New Roman" w:cs="Times New Roman"/>
          <w:i/>
          <w:iCs/>
          <w:color w:val="000000"/>
          <w:szCs w:val="24"/>
        </w:rPr>
        <w:t xml:space="preserve">resident sedimentary microbes are engaged in metabolic cross-feeding and process partitioning to catalyze different steps of nitrate respiration and that they compete with abiotic processes depending on environmental context. </w:t>
      </w:r>
      <w:r w:rsidRPr="00FF55A0">
        <w:rPr>
          <w:rFonts w:eastAsia="Times New Roman" w:cs="Times New Roman"/>
          <w:color w:val="000000"/>
          <w:szCs w:val="24"/>
        </w:rPr>
        <w:t xml:space="preserve">The first experimental cycle presented here targets denitrification to nitrous oxide by classical nitrate reducing bacteria. Upon completing this first cycle, we expect that the model would not be accurate enough because of the likely contribution of the many other groups of microbes that could be producing nitrous oxide, as well as a significant fraction from abiotic reactions that drive </w:t>
      </w:r>
      <w:proofErr w:type="spellStart"/>
      <w:r w:rsidRPr="00FF55A0">
        <w:rPr>
          <w:rFonts w:eastAsia="Times New Roman" w:cs="Times New Roman"/>
          <w:color w:val="000000"/>
          <w:szCs w:val="24"/>
        </w:rPr>
        <w:t>chemodenitrification</w:t>
      </w:r>
      <w:proofErr w:type="spellEnd"/>
      <w:r w:rsidRPr="00FF55A0">
        <w:rPr>
          <w:rFonts w:eastAsia="Times New Roman" w:cs="Times New Roman"/>
          <w:color w:val="000000"/>
          <w:szCs w:val="24"/>
        </w:rPr>
        <w:t>. </w:t>
      </w:r>
    </w:p>
    <w:p w14:paraId="4E54FA73" w14:textId="708302B3" w:rsidR="00FF55A0" w:rsidRDefault="00FF55A0" w:rsidP="00FF55A0">
      <w:pPr>
        <w:spacing w:before="0" w:after="0"/>
        <w:rPr>
          <w:rFonts w:eastAsia="Times New Roman" w:cs="Times New Roman"/>
          <w:szCs w:val="24"/>
        </w:rPr>
      </w:pPr>
    </w:p>
    <w:p w14:paraId="6D0B716E" w14:textId="6B0B7215" w:rsidR="00810665" w:rsidRDefault="00810665" w:rsidP="00FF55A0">
      <w:pPr>
        <w:spacing w:before="0" w:after="0"/>
        <w:rPr>
          <w:rFonts w:eastAsia="Times New Roman" w:cs="Times New Roman"/>
          <w:szCs w:val="24"/>
        </w:rPr>
      </w:pPr>
    </w:p>
    <w:p w14:paraId="312489D7" w14:textId="77777777" w:rsidR="00810665" w:rsidRPr="00FF55A0" w:rsidRDefault="00810665" w:rsidP="00FF55A0">
      <w:pPr>
        <w:spacing w:before="0" w:after="0"/>
        <w:rPr>
          <w:rFonts w:eastAsia="Times New Roman" w:cs="Times New Roman"/>
          <w:szCs w:val="24"/>
        </w:rPr>
      </w:pPr>
    </w:p>
    <w:p w14:paraId="2D18FE52" w14:textId="61C8BA78" w:rsidR="00FF55A0" w:rsidRDefault="00FF55A0" w:rsidP="00FF55A0">
      <w:pPr>
        <w:spacing w:before="0" w:after="0"/>
        <w:rPr>
          <w:rFonts w:eastAsia="Times New Roman" w:cs="Times New Roman"/>
          <w:color w:val="000000"/>
          <w:szCs w:val="24"/>
        </w:rPr>
      </w:pPr>
      <w:r w:rsidRPr="00FF55A0">
        <w:rPr>
          <w:rFonts w:eastAsia="Times New Roman" w:cs="Times New Roman"/>
          <w:color w:val="000000"/>
          <w:szCs w:val="24"/>
          <w:u w:val="single"/>
        </w:rPr>
        <w:lastRenderedPageBreak/>
        <w:t>Select FICSME terms needed to test hypothesis</w:t>
      </w:r>
      <w:r w:rsidRPr="00FF55A0">
        <w:rPr>
          <w:rFonts w:eastAsia="Times New Roman" w:cs="Times New Roman"/>
          <w:color w:val="000000"/>
          <w:szCs w:val="24"/>
        </w:rPr>
        <w:t>: </w:t>
      </w:r>
    </w:p>
    <w:p w14:paraId="28B4DD93" w14:textId="367481B1" w:rsidR="001E76F7" w:rsidRDefault="120F1CD2" w:rsidP="00FF55A0">
      <w:pPr>
        <w:spacing w:before="0" w:after="0"/>
        <w:rPr>
          <w:rFonts w:eastAsia="Times New Roman" w:cs="Times New Roman"/>
          <w:color w:val="000000" w:themeColor="text1"/>
        </w:rPr>
      </w:pPr>
      <w:r w:rsidRPr="23948B6D">
        <w:rPr>
          <w:rFonts w:eastAsia="Times New Roman" w:cs="Times New Roman"/>
          <w:color w:val="000000" w:themeColor="text1"/>
        </w:rPr>
        <w:t>Since both abiotic and biotic factors appear to govern N</w:t>
      </w:r>
      <w:r w:rsidRPr="23948B6D">
        <w:rPr>
          <w:rFonts w:eastAsia="Times New Roman" w:cs="Times New Roman"/>
          <w:color w:val="000000" w:themeColor="text1"/>
          <w:sz w:val="14"/>
          <w:szCs w:val="14"/>
          <w:vertAlign w:val="subscript"/>
        </w:rPr>
        <w:t>2</w:t>
      </w:r>
      <w:r w:rsidRPr="23948B6D">
        <w:rPr>
          <w:rFonts w:eastAsia="Times New Roman" w:cs="Times New Roman"/>
          <w:color w:val="000000" w:themeColor="text1"/>
        </w:rPr>
        <w:t xml:space="preserve">O fluxes, their respective FICSME terms must be considered to understand and accurately predict the response to a perturbation in the system. For this research question and hypothesis, we will focus on FICSME terms for </w:t>
      </w:r>
      <w:r w:rsidR="12F52CDA" w:rsidRPr="23948B6D">
        <w:rPr>
          <w:rFonts w:eastAsia="Times New Roman" w:cs="Times New Roman"/>
          <w:color w:val="000000" w:themeColor="text1"/>
        </w:rPr>
        <w:t xml:space="preserve">a focused subset of </w:t>
      </w:r>
      <w:r w:rsidRPr="23948B6D">
        <w:rPr>
          <w:rFonts w:eastAsia="Times New Roman" w:cs="Times New Roman"/>
          <w:color w:val="000000" w:themeColor="text1"/>
        </w:rPr>
        <w:t xml:space="preserve">biotic and abiotic </w:t>
      </w:r>
      <w:r w:rsidR="12F52CDA" w:rsidRPr="23948B6D">
        <w:rPr>
          <w:rFonts w:eastAsia="Times New Roman" w:cs="Times New Roman"/>
          <w:color w:val="000000" w:themeColor="text1"/>
        </w:rPr>
        <w:t xml:space="preserve">processes, taxa and biogeochemical components </w:t>
      </w:r>
      <w:r w:rsidRPr="23948B6D">
        <w:rPr>
          <w:rFonts w:eastAsia="Times New Roman" w:cs="Times New Roman"/>
          <w:color w:val="000000" w:themeColor="text1"/>
        </w:rPr>
        <w:t>(part</w:t>
      </w:r>
      <w:r w:rsidR="12F52CDA" w:rsidRPr="23948B6D">
        <w:rPr>
          <w:rFonts w:eastAsia="Times New Roman" w:cs="Times New Roman"/>
          <w:color w:val="000000" w:themeColor="text1"/>
        </w:rPr>
        <w:t>s</w:t>
      </w:r>
      <w:r w:rsidRPr="23948B6D">
        <w:rPr>
          <w:rFonts w:eastAsia="Times New Roman" w:cs="Times New Roman"/>
          <w:color w:val="000000" w:themeColor="text1"/>
        </w:rPr>
        <w:t xml:space="preserve"> of n1, c1)</w:t>
      </w:r>
      <w:r w:rsidR="12F52CDA" w:rsidRPr="23948B6D">
        <w:rPr>
          <w:rFonts w:eastAsia="Times New Roman" w:cs="Times New Roman"/>
          <w:color w:val="000000" w:themeColor="text1"/>
        </w:rPr>
        <w:t>. This means focusing chemical and enzymatically driven denitrification reactions that would appear in c3, c4 and g2; microbial growth that appears in n3 and g1</w:t>
      </w:r>
      <w:r w:rsidRPr="23948B6D">
        <w:rPr>
          <w:rFonts w:eastAsia="Times New Roman" w:cs="Times New Roman"/>
          <w:color w:val="000000" w:themeColor="text1"/>
        </w:rPr>
        <w:t>, and enzyme activity (g2, r1-r4), as represented in Supplementary Figure 1, Supplementary Tables 2</w:t>
      </w:r>
      <w:r w:rsidR="58A8F110" w:rsidRPr="23948B6D">
        <w:rPr>
          <w:rFonts w:eastAsia="Times New Roman" w:cs="Times New Roman"/>
          <w:color w:val="000000" w:themeColor="text1"/>
        </w:rPr>
        <w:t xml:space="preserve"> and </w:t>
      </w:r>
      <w:r w:rsidRPr="23948B6D">
        <w:rPr>
          <w:rFonts w:eastAsia="Times New Roman" w:cs="Times New Roman"/>
          <w:color w:val="000000" w:themeColor="text1"/>
        </w:rPr>
        <w:t>3. We chose these parameters because we first need to understand the regulation and mechanisms of denitrification in one compartment of the site. Once we can accurately predict the amount of nitrous oxide off-gassing from one compartment, then the model can be expanded to include more compartments and the connections between them to be able to predict amounts of nitrous oxide flux measured across the site. So, we will not consider the terms transport (part of n1, c1), dispersal (part of n1, c1), attachment (n2), transfer (c2), direct microbial interactions (n4), mutations (n5) or thermodynamics (r5) in this iteration (Supplementary Figure 1). We did not select</w:t>
      </w:r>
      <w:r w:rsidR="12F52CDA" w:rsidRPr="23948B6D">
        <w:rPr>
          <w:rFonts w:eastAsia="Times New Roman" w:cs="Times New Roman"/>
          <w:color w:val="000000" w:themeColor="text1"/>
        </w:rPr>
        <w:t>, for example,</w:t>
      </w:r>
      <w:r w:rsidRPr="23948B6D">
        <w:rPr>
          <w:rFonts w:eastAsia="Times New Roman" w:cs="Times New Roman"/>
          <w:color w:val="000000" w:themeColor="text1"/>
        </w:rPr>
        <w:t xml:space="preserve"> </w:t>
      </w:r>
      <w:r w:rsidR="12F52CDA" w:rsidRPr="23948B6D">
        <w:rPr>
          <w:rFonts w:eastAsia="Times New Roman" w:cs="Times New Roman"/>
          <w:color w:val="000000" w:themeColor="text1"/>
        </w:rPr>
        <w:t xml:space="preserve">direct interaction </w:t>
      </w:r>
      <w:r w:rsidRPr="23948B6D">
        <w:rPr>
          <w:rFonts w:eastAsia="Times New Roman" w:cs="Times New Roman"/>
          <w:color w:val="000000" w:themeColor="text1"/>
        </w:rPr>
        <w:t>terms</w:t>
      </w:r>
      <w:r w:rsidR="12F52CDA" w:rsidRPr="23948B6D">
        <w:rPr>
          <w:rFonts w:eastAsia="Times New Roman" w:cs="Times New Roman"/>
          <w:color w:val="000000" w:themeColor="text1"/>
        </w:rPr>
        <w:t xml:space="preserve"> (n4)</w:t>
      </w:r>
      <w:r w:rsidRPr="23948B6D">
        <w:rPr>
          <w:rFonts w:eastAsia="Times New Roman" w:cs="Times New Roman"/>
          <w:color w:val="000000" w:themeColor="text1"/>
        </w:rPr>
        <w:t xml:space="preserve"> because we are assuming that the amount of direct interactions is negligible due to distance between microbes in sediment particles. Also, while transport and dispersal are important to overall flux at the whole site, we </w:t>
      </w:r>
      <w:r w:rsidR="0062377A" w:rsidRPr="23948B6D">
        <w:rPr>
          <w:rFonts w:eastAsia="Times New Roman" w:cs="Times New Roman"/>
          <w:color w:val="000000" w:themeColor="text1"/>
        </w:rPr>
        <w:t>are predicting for the sake of this tutorial that</w:t>
      </w:r>
      <w:r w:rsidRPr="23948B6D">
        <w:rPr>
          <w:rFonts w:eastAsia="Times New Roman" w:cs="Times New Roman"/>
          <w:color w:val="000000" w:themeColor="text1"/>
        </w:rPr>
        <w:t xml:space="preserve"> these terms are not important to the mechanism of nitrous oxide off-gassing in one compartment. After completing this iteration, we might find that our model predicts all compartments from the site well without incorporating these terms, or we may learn that factors like dispersion are dominant drivers of the site</w:t>
      </w:r>
      <w:r w:rsidR="2DF58A22" w:rsidRPr="23948B6D">
        <w:rPr>
          <w:rFonts w:eastAsia="Times New Roman" w:cs="Times New Roman"/>
          <w:color w:val="000000" w:themeColor="text1"/>
        </w:rPr>
        <w:t xml:space="preserve"> even within one compartment</w:t>
      </w:r>
      <w:r w:rsidRPr="23948B6D">
        <w:rPr>
          <w:rFonts w:eastAsia="Times New Roman" w:cs="Times New Roman"/>
          <w:color w:val="000000" w:themeColor="text1"/>
        </w:rPr>
        <w:t>. The iterative nature of FICSME will allow us to test these additional factors by adding back in those terms or other modules that describe that factor better and refine the model accordingly.</w:t>
      </w:r>
    </w:p>
    <w:p w14:paraId="2EA0217E" w14:textId="77777777" w:rsidR="00F22505" w:rsidRDefault="00F22505" w:rsidP="00FF55A0">
      <w:pPr>
        <w:spacing w:before="0" w:after="0"/>
        <w:rPr>
          <w:rFonts w:eastAsia="Times New Roman" w:cs="Times New Roman"/>
          <w:color w:val="000000" w:themeColor="text1"/>
        </w:rPr>
      </w:pPr>
    </w:p>
    <w:p w14:paraId="4335715A" w14:textId="41373BB3" w:rsidR="00810665" w:rsidRPr="001E76F7" w:rsidRDefault="00436DC8" w:rsidP="00FF55A0">
      <w:pPr>
        <w:spacing w:before="0" w:after="0"/>
        <w:rPr>
          <w:rFonts w:eastAsia="Times New Roman" w:cs="Times New Roman"/>
        </w:rPr>
      </w:pPr>
      <w:r>
        <w:rPr>
          <w:rFonts w:eastAsia="Times New Roman" w:cs="Times New Roman"/>
          <w:noProof/>
        </w:rPr>
        <w:drawing>
          <wp:inline distT="0" distB="0" distL="0" distR="0" wp14:anchorId="7EFA217C" wp14:editId="05E0E382">
            <wp:extent cx="6208395" cy="35509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550920"/>
                    </a:xfrm>
                    <a:prstGeom prst="rect">
                      <a:avLst/>
                    </a:prstGeom>
                  </pic:spPr>
                </pic:pic>
              </a:graphicData>
            </a:graphic>
          </wp:inline>
        </w:drawing>
      </w:r>
      <w:bookmarkStart w:id="0" w:name="_GoBack"/>
      <w:bookmarkEnd w:id="0"/>
    </w:p>
    <w:p w14:paraId="1FE91084" w14:textId="77777777" w:rsidR="00F22505" w:rsidRDefault="00F22505" w:rsidP="001E76F7">
      <w:pPr>
        <w:spacing w:before="0" w:after="0"/>
        <w:rPr>
          <w:rFonts w:eastAsia="Times New Roman" w:cs="Times New Roman"/>
          <w:b/>
          <w:color w:val="000000" w:themeColor="text1"/>
        </w:rPr>
      </w:pPr>
    </w:p>
    <w:p w14:paraId="3DA51B1B" w14:textId="38A1528F" w:rsidR="001E76F7" w:rsidRPr="001E76F7" w:rsidRDefault="001E76F7" w:rsidP="001E76F7">
      <w:pPr>
        <w:spacing w:before="0" w:after="0"/>
        <w:rPr>
          <w:rFonts w:eastAsia="Times New Roman" w:cs="Times New Roman"/>
          <w:szCs w:val="24"/>
        </w:rPr>
      </w:pPr>
      <w:r w:rsidRPr="35423FA5">
        <w:rPr>
          <w:rFonts w:eastAsia="Times New Roman" w:cs="Times New Roman"/>
          <w:b/>
          <w:color w:val="000000" w:themeColor="text1"/>
        </w:rPr>
        <w:t>Supplementary Figure 1</w:t>
      </w:r>
      <w:r w:rsidRPr="35423FA5">
        <w:rPr>
          <w:rFonts w:eastAsia="Times New Roman" w:cs="Times New Roman"/>
          <w:color w:val="000000" w:themeColor="text1"/>
        </w:rPr>
        <w:t>: Reproduction of FICSME framework equations with selected terms for Nitrous oxide off-gassing example study highlighted in color and unselected terms in gray. </w:t>
      </w:r>
    </w:p>
    <w:p w14:paraId="020DB853" w14:textId="77777777" w:rsidR="001E76F7" w:rsidRPr="001E76F7" w:rsidRDefault="001E76F7" w:rsidP="001E76F7">
      <w:pPr>
        <w:spacing w:before="0" w:after="0"/>
        <w:rPr>
          <w:rFonts w:eastAsia="Times New Roman" w:cs="Times New Roman"/>
          <w:szCs w:val="24"/>
        </w:rPr>
      </w:pPr>
    </w:p>
    <w:p w14:paraId="2299EF5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lastRenderedPageBreak/>
        <w:t>Populate selected terms with existing data from literature, databases and previous work</w:t>
      </w:r>
      <w:r w:rsidRPr="00372592">
        <w:rPr>
          <w:rFonts w:eastAsia="Times New Roman" w:cs="Times New Roman"/>
          <w:color w:val="000000"/>
          <w:szCs w:val="24"/>
        </w:rPr>
        <w:t>: </w:t>
      </w:r>
    </w:p>
    <w:p w14:paraId="0680CAA2" w14:textId="324408C9"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With a hypothesis formulated and terms selected, we then populate selected terms with existing data</w:t>
      </w:r>
      <w:r w:rsidR="00261AB5">
        <w:rPr>
          <w:rFonts w:eastAsia="Times New Roman" w:cs="Times New Roman"/>
          <w:color w:val="000000"/>
          <w:szCs w:val="24"/>
        </w:rPr>
        <w:t>,</w:t>
      </w:r>
      <w:r w:rsidRPr="00372592">
        <w:rPr>
          <w:rFonts w:eastAsia="Times New Roman" w:cs="Times New Roman"/>
          <w:color w:val="000000"/>
          <w:szCs w:val="24"/>
        </w:rPr>
        <w:t xml:space="preserve"> where available and pertinent. Each individual parameter might be represented by a matrix, series of equations, or combination of several data types. The parameters, existing knowledge, limitations and data types are outlined in the tables below. </w:t>
      </w:r>
    </w:p>
    <w:p w14:paraId="15EA6865" w14:textId="54B448A5" w:rsidR="00372592" w:rsidRPr="00372592" w:rsidRDefault="00372592" w:rsidP="00372592">
      <w:pPr>
        <w:spacing w:before="240" w:after="0"/>
        <w:rPr>
          <w:rFonts w:eastAsia="Times New Roman" w:cs="Times New Roman"/>
          <w:szCs w:val="24"/>
        </w:rPr>
      </w:pPr>
      <w:r w:rsidRPr="00372592">
        <w:rPr>
          <w:rFonts w:eastAsia="Times New Roman" w:cs="Times New Roman"/>
          <w:b/>
          <w:bCs/>
          <w:color w:val="000000"/>
          <w:szCs w:val="24"/>
        </w:rPr>
        <w:t>Supplementary Table 2</w:t>
      </w:r>
      <w:r w:rsidRPr="00372592">
        <w:rPr>
          <w:rFonts w:eastAsia="Times New Roman" w:cs="Times New Roman"/>
          <w:color w:val="000000"/>
          <w:szCs w:val="24"/>
        </w:rPr>
        <w:t>.  Parameters from the selected FICSME terms n1, c1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7"/>
        <w:gridCol w:w="2391"/>
        <w:gridCol w:w="2238"/>
        <w:gridCol w:w="3064"/>
      </w:tblGrid>
      <w:tr w:rsidR="000B074D" w:rsidRPr="00372592" w14:paraId="608C12A7" w14:textId="77777777" w:rsidTr="23948B6D">
        <w:tc>
          <w:tcPr>
            <w:tcW w:w="0" w:type="auto"/>
            <w:tcMar>
              <w:top w:w="100" w:type="dxa"/>
              <w:left w:w="100" w:type="dxa"/>
              <w:bottom w:w="100" w:type="dxa"/>
              <w:right w:w="100" w:type="dxa"/>
            </w:tcMar>
            <w:hideMark/>
          </w:tcPr>
          <w:p w14:paraId="5CB39F5D"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Parameter</w:t>
            </w:r>
          </w:p>
        </w:tc>
        <w:tc>
          <w:tcPr>
            <w:tcW w:w="0" w:type="auto"/>
            <w:tcMar>
              <w:top w:w="100" w:type="dxa"/>
              <w:left w:w="100" w:type="dxa"/>
              <w:bottom w:w="100" w:type="dxa"/>
              <w:right w:w="100" w:type="dxa"/>
            </w:tcMar>
            <w:hideMark/>
          </w:tcPr>
          <w:p w14:paraId="71F5A739"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Existing Knowledge*</w:t>
            </w:r>
          </w:p>
        </w:tc>
        <w:tc>
          <w:tcPr>
            <w:tcW w:w="0" w:type="auto"/>
            <w:tcMar>
              <w:top w:w="100" w:type="dxa"/>
              <w:left w:w="100" w:type="dxa"/>
              <w:bottom w:w="100" w:type="dxa"/>
              <w:right w:w="100" w:type="dxa"/>
            </w:tcMar>
            <w:hideMark/>
          </w:tcPr>
          <w:p w14:paraId="781D19E2"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Limitations or Knowledge gaps? </w:t>
            </w:r>
          </w:p>
        </w:tc>
        <w:tc>
          <w:tcPr>
            <w:tcW w:w="0" w:type="auto"/>
            <w:tcMar>
              <w:top w:w="100" w:type="dxa"/>
              <w:left w:w="100" w:type="dxa"/>
              <w:bottom w:w="100" w:type="dxa"/>
              <w:right w:w="100" w:type="dxa"/>
            </w:tcMar>
            <w:hideMark/>
          </w:tcPr>
          <w:p w14:paraId="0F76EDC3"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Data Type</w:t>
            </w:r>
          </w:p>
        </w:tc>
      </w:tr>
      <w:tr w:rsidR="000B074D" w:rsidRPr="00372592" w14:paraId="1FC8F202" w14:textId="77777777" w:rsidTr="23948B6D">
        <w:trPr>
          <w:trHeight w:val="440"/>
        </w:trPr>
        <w:tc>
          <w:tcPr>
            <w:tcW w:w="0" w:type="auto"/>
            <w:tcMar>
              <w:top w:w="100" w:type="dxa"/>
              <w:left w:w="100" w:type="dxa"/>
              <w:bottom w:w="100" w:type="dxa"/>
              <w:right w:w="100" w:type="dxa"/>
            </w:tcMar>
            <w:hideMark/>
          </w:tcPr>
          <w:p w14:paraId="78B46F13"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n- abundance of each microbial species</w:t>
            </w:r>
          </w:p>
        </w:tc>
        <w:tc>
          <w:tcPr>
            <w:tcW w:w="0" w:type="auto"/>
            <w:vMerge w:val="restart"/>
            <w:tcMar>
              <w:top w:w="100" w:type="dxa"/>
              <w:left w:w="100" w:type="dxa"/>
              <w:bottom w:w="100" w:type="dxa"/>
              <w:right w:w="100" w:type="dxa"/>
            </w:tcMar>
            <w:hideMark/>
          </w:tcPr>
          <w:p w14:paraId="3D162703"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Relative abundance &amp; composition are site specific, predictable from geochemistry, N &amp; S cycling microbes present</w:t>
            </w:r>
          </w:p>
        </w:tc>
        <w:tc>
          <w:tcPr>
            <w:tcW w:w="0" w:type="auto"/>
            <w:vMerge w:val="restart"/>
            <w:tcMar>
              <w:top w:w="100" w:type="dxa"/>
              <w:left w:w="100" w:type="dxa"/>
              <w:bottom w:w="100" w:type="dxa"/>
              <w:right w:w="100" w:type="dxa"/>
            </w:tcMar>
            <w:hideMark/>
          </w:tcPr>
          <w:p w14:paraId="15E3625A" w14:textId="166B920D" w:rsidR="00372592" w:rsidRPr="00372592" w:rsidRDefault="5A0F060C" w:rsidP="23948B6D">
            <w:pPr>
              <w:spacing w:before="0" w:after="0"/>
              <w:rPr>
                <w:rFonts w:eastAsia="Times New Roman" w:cs="Times New Roman"/>
              </w:rPr>
            </w:pPr>
            <w:r w:rsidRPr="23948B6D">
              <w:rPr>
                <w:rFonts w:eastAsia="Times New Roman" w:cs="Times New Roman"/>
                <w:color w:val="000000" w:themeColor="text1"/>
                <w:sz w:val="20"/>
                <w:szCs w:val="20"/>
              </w:rPr>
              <w:t>Changes over time, response to specific perturbations, accurate sediment abundance</w:t>
            </w:r>
            <w:r w:rsidR="1698D843" w:rsidRPr="23948B6D">
              <w:rPr>
                <w:rFonts w:eastAsia="Times New Roman" w:cs="Times New Roman"/>
                <w:color w:val="000000" w:themeColor="text1"/>
                <w:sz w:val="20"/>
                <w:szCs w:val="20"/>
              </w:rPr>
              <w:t xml:space="preserve"> and microbial activity</w:t>
            </w:r>
          </w:p>
        </w:tc>
        <w:tc>
          <w:tcPr>
            <w:tcW w:w="0" w:type="auto"/>
            <w:vMerge w:val="restart"/>
            <w:tcMar>
              <w:top w:w="100" w:type="dxa"/>
              <w:left w:w="100" w:type="dxa"/>
              <w:bottom w:w="100" w:type="dxa"/>
              <w:right w:w="100" w:type="dxa"/>
            </w:tcMar>
            <w:hideMark/>
          </w:tcPr>
          <w:p w14:paraId="4F40DC61" w14:textId="77777777" w:rsidR="00372592" w:rsidRPr="00372592" w:rsidRDefault="00372592" w:rsidP="00372592">
            <w:pPr>
              <w:spacing w:before="0" w:after="0"/>
              <w:rPr>
                <w:rFonts w:eastAsia="Times New Roman" w:cs="Times New Roman"/>
                <w:szCs w:val="24"/>
              </w:rPr>
            </w:pPr>
          </w:p>
          <w:p w14:paraId="06534C3C"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Depth profiles of concentrations/abundance of each species in each location at a specific sampling event</w:t>
            </w:r>
          </w:p>
          <w:p w14:paraId="44A048DA" w14:textId="77777777" w:rsidR="00372592" w:rsidRPr="00372592" w:rsidRDefault="00372592" w:rsidP="00372592">
            <w:pPr>
              <w:spacing w:before="0" w:after="0"/>
              <w:rPr>
                <w:rFonts w:eastAsia="Times New Roman" w:cs="Times New Roman"/>
                <w:szCs w:val="24"/>
              </w:rPr>
            </w:pPr>
          </w:p>
          <w:p w14:paraId="5417AFBB"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Data result from DNA sequencing, HPLC, IC XRD, water quality probes </w:t>
            </w:r>
          </w:p>
          <w:p w14:paraId="2BBD7F4A" w14:textId="77777777" w:rsidR="00372592" w:rsidRPr="00372592" w:rsidRDefault="00372592" w:rsidP="00372592">
            <w:pPr>
              <w:spacing w:before="0" w:after="0"/>
              <w:rPr>
                <w:rFonts w:eastAsia="Times New Roman" w:cs="Times New Roman"/>
                <w:szCs w:val="24"/>
              </w:rPr>
            </w:pPr>
          </w:p>
        </w:tc>
      </w:tr>
      <w:tr w:rsidR="000B074D" w:rsidRPr="00372592" w14:paraId="0041E145" w14:textId="77777777" w:rsidTr="23948B6D">
        <w:trPr>
          <w:trHeight w:val="440"/>
        </w:trPr>
        <w:tc>
          <w:tcPr>
            <w:tcW w:w="0" w:type="auto"/>
            <w:tcMar>
              <w:top w:w="100" w:type="dxa"/>
              <w:left w:w="100" w:type="dxa"/>
              <w:bottom w:w="100" w:type="dxa"/>
              <w:right w:w="100" w:type="dxa"/>
            </w:tcMar>
            <w:hideMark/>
          </w:tcPr>
          <w:p w14:paraId="7AF8EC12"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N- microbial community membership</w:t>
            </w:r>
          </w:p>
        </w:tc>
        <w:tc>
          <w:tcPr>
            <w:tcW w:w="0" w:type="auto"/>
            <w:vMerge/>
            <w:vAlign w:val="center"/>
            <w:hideMark/>
          </w:tcPr>
          <w:p w14:paraId="3A857B54" w14:textId="77777777" w:rsidR="00372592" w:rsidRPr="00372592" w:rsidRDefault="00372592" w:rsidP="00372592">
            <w:pPr>
              <w:spacing w:before="0" w:after="0"/>
              <w:rPr>
                <w:rFonts w:eastAsia="Times New Roman" w:cs="Times New Roman"/>
                <w:szCs w:val="24"/>
              </w:rPr>
            </w:pPr>
          </w:p>
        </w:tc>
        <w:tc>
          <w:tcPr>
            <w:tcW w:w="0" w:type="auto"/>
            <w:vMerge/>
            <w:vAlign w:val="center"/>
            <w:hideMark/>
          </w:tcPr>
          <w:p w14:paraId="2DD92B0B" w14:textId="77777777" w:rsidR="00372592" w:rsidRPr="00372592" w:rsidRDefault="00372592" w:rsidP="00372592">
            <w:pPr>
              <w:spacing w:before="0" w:after="0"/>
              <w:rPr>
                <w:rFonts w:eastAsia="Times New Roman" w:cs="Times New Roman"/>
                <w:szCs w:val="24"/>
              </w:rPr>
            </w:pPr>
          </w:p>
        </w:tc>
        <w:tc>
          <w:tcPr>
            <w:tcW w:w="0" w:type="auto"/>
            <w:vMerge/>
            <w:vAlign w:val="center"/>
            <w:hideMark/>
          </w:tcPr>
          <w:p w14:paraId="7F55238D" w14:textId="77777777" w:rsidR="00372592" w:rsidRPr="00372592" w:rsidRDefault="00372592" w:rsidP="00372592">
            <w:pPr>
              <w:spacing w:before="0" w:after="0"/>
              <w:rPr>
                <w:rFonts w:eastAsia="Times New Roman" w:cs="Times New Roman"/>
                <w:szCs w:val="24"/>
              </w:rPr>
            </w:pPr>
          </w:p>
        </w:tc>
      </w:tr>
      <w:tr w:rsidR="000B074D" w:rsidRPr="00372592" w14:paraId="7BEDB6F3" w14:textId="77777777" w:rsidTr="23948B6D">
        <w:trPr>
          <w:trHeight w:val="440"/>
        </w:trPr>
        <w:tc>
          <w:tcPr>
            <w:tcW w:w="0" w:type="auto"/>
            <w:tcMar>
              <w:top w:w="100" w:type="dxa"/>
              <w:left w:w="100" w:type="dxa"/>
              <w:bottom w:w="100" w:type="dxa"/>
              <w:right w:w="100" w:type="dxa"/>
            </w:tcMar>
            <w:hideMark/>
          </w:tcPr>
          <w:p w14:paraId="7A6BD015"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c- concentration of each chemical species</w:t>
            </w:r>
          </w:p>
        </w:tc>
        <w:tc>
          <w:tcPr>
            <w:tcW w:w="0" w:type="auto"/>
            <w:vMerge w:val="restart"/>
            <w:tcMar>
              <w:top w:w="100" w:type="dxa"/>
              <w:left w:w="100" w:type="dxa"/>
              <w:bottom w:w="100" w:type="dxa"/>
              <w:right w:w="100" w:type="dxa"/>
            </w:tcMar>
            <w:hideMark/>
          </w:tcPr>
          <w:p w14:paraId="151AA26E" w14:textId="2C3035B9" w:rsidR="00372592" w:rsidRPr="00372592" w:rsidRDefault="00372592" w:rsidP="00372592">
            <w:pPr>
              <w:spacing w:before="0" w:after="0"/>
              <w:rPr>
                <w:rFonts w:eastAsia="Times New Roman" w:cs="Times New Roman"/>
              </w:rPr>
            </w:pPr>
            <w:r w:rsidRPr="25FBD9A6">
              <w:rPr>
                <w:rFonts w:eastAsia="Times New Roman" w:cs="Times New Roman"/>
                <w:color w:val="000000" w:themeColor="text1"/>
                <w:sz w:val="20"/>
                <w:szCs w:val="20"/>
              </w:rPr>
              <w:t xml:space="preserve">Types &amp; concentrations of </w:t>
            </w:r>
            <w:r w:rsidR="4AE87070" w:rsidRPr="25FBD9A6">
              <w:rPr>
                <w:rFonts w:eastAsia="Times New Roman" w:cs="Times New Roman"/>
                <w:color w:val="000000" w:themeColor="text1"/>
                <w:sz w:val="20"/>
                <w:szCs w:val="20"/>
              </w:rPr>
              <w:t>m</w:t>
            </w:r>
            <w:r w:rsidRPr="25FBD9A6">
              <w:rPr>
                <w:rFonts w:eastAsia="Times New Roman" w:cs="Times New Roman"/>
                <w:color w:val="000000" w:themeColor="text1"/>
                <w:sz w:val="20"/>
                <w:szCs w:val="20"/>
              </w:rPr>
              <w:t>etals, ions, pH, DO, temperature etc. Thresholds of nutrients that inhibit processes.</w:t>
            </w:r>
          </w:p>
        </w:tc>
        <w:tc>
          <w:tcPr>
            <w:tcW w:w="0" w:type="auto"/>
            <w:vMerge w:val="restart"/>
            <w:tcMar>
              <w:top w:w="100" w:type="dxa"/>
              <w:left w:w="100" w:type="dxa"/>
              <w:bottom w:w="100" w:type="dxa"/>
              <w:right w:w="100" w:type="dxa"/>
            </w:tcMar>
            <w:hideMark/>
          </w:tcPr>
          <w:p w14:paraId="39D60DEF" w14:textId="77777777" w:rsidR="00372592" w:rsidRPr="00372592" w:rsidRDefault="00372592" w:rsidP="00372592">
            <w:pPr>
              <w:spacing w:before="0" w:after="0"/>
              <w:rPr>
                <w:rFonts w:eastAsia="Times New Roman" w:cs="Times New Roman"/>
                <w:szCs w:val="24"/>
              </w:rPr>
            </w:pPr>
          </w:p>
          <w:p w14:paraId="63E15799"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Changes over time, response to specific perturbations, gasses </w:t>
            </w:r>
          </w:p>
        </w:tc>
        <w:tc>
          <w:tcPr>
            <w:tcW w:w="0" w:type="auto"/>
            <w:vMerge/>
            <w:vAlign w:val="center"/>
            <w:hideMark/>
          </w:tcPr>
          <w:p w14:paraId="56EA7740" w14:textId="77777777" w:rsidR="00372592" w:rsidRPr="00372592" w:rsidRDefault="00372592" w:rsidP="00372592">
            <w:pPr>
              <w:spacing w:before="0" w:after="0"/>
              <w:rPr>
                <w:rFonts w:eastAsia="Times New Roman" w:cs="Times New Roman"/>
                <w:szCs w:val="24"/>
              </w:rPr>
            </w:pPr>
          </w:p>
        </w:tc>
      </w:tr>
      <w:tr w:rsidR="000B074D" w:rsidRPr="00372592" w14:paraId="769F5FEE" w14:textId="77777777" w:rsidTr="23948B6D">
        <w:trPr>
          <w:trHeight w:val="440"/>
        </w:trPr>
        <w:tc>
          <w:tcPr>
            <w:tcW w:w="0" w:type="auto"/>
            <w:tcMar>
              <w:top w:w="100" w:type="dxa"/>
              <w:left w:w="100" w:type="dxa"/>
              <w:bottom w:w="100" w:type="dxa"/>
              <w:right w:w="100" w:type="dxa"/>
            </w:tcMar>
            <w:hideMark/>
          </w:tcPr>
          <w:p w14:paraId="69908D46"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 xml:space="preserve">C- all types of </w:t>
            </w:r>
            <w:proofErr w:type="spellStart"/>
            <w:r w:rsidRPr="00372592">
              <w:rPr>
                <w:rFonts w:eastAsia="Times New Roman" w:cs="Times New Roman"/>
                <w:color w:val="000000"/>
                <w:sz w:val="20"/>
                <w:szCs w:val="20"/>
              </w:rPr>
              <w:t>geochemistries</w:t>
            </w:r>
            <w:proofErr w:type="spellEnd"/>
            <w:r w:rsidRPr="00372592">
              <w:rPr>
                <w:rFonts w:eastAsia="Times New Roman" w:cs="Times New Roman"/>
                <w:color w:val="000000"/>
                <w:sz w:val="20"/>
                <w:szCs w:val="20"/>
              </w:rPr>
              <w:t xml:space="preserve"> present </w:t>
            </w:r>
          </w:p>
        </w:tc>
        <w:tc>
          <w:tcPr>
            <w:tcW w:w="0" w:type="auto"/>
            <w:vMerge/>
            <w:vAlign w:val="center"/>
            <w:hideMark/>
          </w:tcPr>
          <w:p w14:paraId="6988A027" w14:textId="77777777" w:rsidR="00372592" w:rsidRPr="00372592" w:rsidRDefault="00372592" w:rsidP="00372592">
            <w:pPr>
              <w:spacing w:before="0" w:after="0"/>
              <w:rPr>
                <w:rFonts w:eastAsia="Times New Roman" w:cs="Times New Roman"/>
                <w:szCs w:val="24"/>
              </w:rPr>
            </w:pPr>
          </w:p>
        </w:tc>
        <w:tc>
          <w:tcPr>
            <w:tcW w:w="0" w:type="auto"/>
            <w:vMerge/>
            <w:vAlign w:val="center"/>
            <w:hideMark/>
          </w:tcPr>
          <w:p w14:paraId="3974DD52" w14:textId="77777777" w:rsidR="00372592" w:rsidRPr="00372592" w:rsidRDefault="00372592" w:rsidP="00372592">
            <w:pPr>
              <w:spacing w:before="0" w:after="0"/>
              <w:rPr>
                <w:rFonts w:eastAsia="Times New Roman" w:cs="Times New Roman"/>
                <w:szCs w:val="24"/>
              </w:rPr>
            </w:pPr>
          </w:p>
        </w:tc>
        <w:tc>
          <w:tcPr>
            <w:tcW w:w="0" w:type="auto"/>
            <w:vMerge/>
            <w:vAlign w:val="center"/>
            <w:hideMark/>
          </w:tcPr>
          <w:p w14:paraId="535B74DF" w14:textId="77777777" w:rsidR="00372592" w:rsidRPr="00372592" w:rsidRDefault="00372592" w:rsidP="00372592">
            <w:pPr>
              <w:spacing w:before="0" w:after="0"/>
              <w:rPr>
                <w:rFonts w:eastAsia="Times New Roman" w:cs="Times New Roman"/>
                <w:szCs w:val="24"/>
              </w:rPr>
            </w:pPr>
          </w:p>
        </w:tc>
      </w:tr>
      <w:tr w:rsidR="000B074D" w:rsidRPr="00372592" w14:paraId="39DF5529" w14:textId="77777777" w:rsidTr="23948B6D">
        <w:trPr>
          <w:trHeight w:val="440"/>
        </w:trPr>
        <w:tc>
          <w:tcPr>
            <w:tcW w:w="0" w:type="auto"/>
            <w:tcMar>
              <w:top w:w="100" w:type="dxa"/>
              <w:left w:w="100" w:type="dxa"/>
              <w:bottom w:w="100" w:type="dxa"/>
              <w:right w:w="100" w:type="dxa"/>
            </w:tcMar>
            <w:hideMark/>
          </w:tcPr>
          <w:p w14:paraId="5B303441" w14:textId="5089D552" w:rsidR="00372592" w:rsidRPr="00372592" w:rsidRDefault="706392EA" w:rsidP="00372592">
            <w:pPr>
              <w:spacing w:before="0" w:after="0"/>
              <w:rPr>
                <w:rFonts w:eastAsia="Times New Roman" w:cs="Times New Roman"/>
              </w:rPr>
            </w:pPr>
            <w:r w:rsidRPr="25FBD9A6">
              <w:rPr>
                <w:rFonts w:eastAsia="Times New Roman" w:cs="Times New Roman"/>
                <w:color w:val="000000" w:themeColor="text1"/>
                <w:sz w:val="20"/>
                <w:szCs w:val="20"/>
              </w:rPr>
              <w:t>π</w:t>
            </w:r>
            <w:r w:rsidR="00372592" w:rsidRPr="25FBD9A6">
              <w:rPr>
                <w:rFonts w:eastAsia="Times New Roman" w:cs="Times New Roman"/>
                <w:color w:val="000000" w:themeColor="text1"/>
                <w:sz w:val="20"/>
                <w:szCs w:val="20"/>
              </w:rPr>
              <w:t>- which compartment n or c found in </w:t>
            </w:r>
          </w:p>
        </w:tc>
        <w:tc>
          <w:tcPr>
            <w:tcW w:w="0" w:type="auto"/>
            <w:tcMar>
              <w:top w:w="100" w:type="dxa"/>
              <w:left w:w="100" w:type="dxa"/>
              <w:bottom w:w="100" w:type="dxa"/>
              <w:right w:w="100" w:type="dxa"/>
            </w:tcMar>
            <w:hideMark/>
          </w:tcPr>
          <w:p w14:paraId="6351991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Sediment, depth resolved</w:t>
            </w:r>
          </w:p>
        </w:tc>
        <w:tc>
          <w:tcPr>
            <w:tcW w:w="0" w:type="auto"/>
            <w:tcMar>
              <w:top w:w="100" w:type="dxa"/>
              <w:left w:w="100" w:type="dxa"/>
              <w:bottom w:w="100" w:type="dxa"/>
              <w:right w:w="100" w:type="dxa"/>
            </w:tcMar>
            <w:hideMark/>
          </w:tcPr>
          <w:p w14:paraId="4C6C2F99"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Higher resolution of sediment structure &amp; groundwater flow</w:t>
            </w:r>
          </w:p>
        </w:tc>
        <w:tc>
          <w:tcPr>
            <w:tcW w:w="0" w:type="auto"/>
            <w:vMerge/>
            <w:vAlign w:val="center"/>
            <w:hideMark/>
          </w:tcPr>
          <w:p w14:paraId="6D6AEBA7" w14:textId="77777777" w:rsidR="00372592" w:rsidRPr="00372592" w:rsidRDefault="00372592" w:rsidP="00372592">
            <w:pPr>
              <w:spacing w:before="0" w:after="0"/>
              <w:rPr>
                <w:rFonts w:eastAsia="Times New Roman" w:cs="Times New Roman"/>
                <w:szCs w:val="24"/>
              </w:rPr>
            </w:pPr>
          </w:p>
        </w:tc>
      </w:tr>
    </w:tbl>
    <w:p w14:paraId="47D2EA86" w14:textId="77777777" w:rsidR="00372592" w:rsidRPr="00372592" w:rsidRDefault="00372592" w:rsidP="00372592">
      <w:pPr>
        <w:spacing w:before="0" w:after="0"/>
        <w:rPr>
          <w:rFonts w:eastAsia="Times New Roman" w:cs="Times New Roman"/>
          <w:szCs w:val="24"/>
        </w:rPr>
      </w:pPr>
    </w:p>
    <w:p w14:paraId="017BEE5A" w14:textId="2B4DFC2C"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Cs w:val="24"/>
        </w:rPr>
        <w:t xml:space="preserve">Supplementary Table </w:t>
      </w:r>
      <w:r w:rsidR="00DA4CE6">
        <w:rPr>
          <w:rFonts w:eastAsia="Times New Roman" w:cs="Times New Roman"/>
          <w:b/>
          <w:bCs/>
          <w:color w:val="000000"/>
          <w:szCs w:val="24"/>
        </w:rPr>
        <w:t>3</w:t>
      </w:r>
      <w:r w:rsidRPr="00372592">
        <w:rPr>
          <w:rFonts w:eastAsia="Times New Roman" w:cs="Times New Roman"/>
          <w:color w:val="000000"/>
          <w:szCs w:val="24"/>
        </w:rPr>
        <w:t>.  Parameters from the selected FICSME terms n3, c3, c4, g1, g2, r1-r4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2014"/>
        <w:gridCol w:w="2921"/>
        <w:gridCol w:w="2651"/>
      </w:tblGrid>
      <w:tr w:rsidR="00F64149" w:rsidRPr="00372592" w14:paraId="6CC43606" w14:textId="77777777" w:rsidTr="00A737C5">
        <w:tc>
          <w:tcPr>
            <w:tcW w:w="0" w:type="auto"/>
            <w:tcMar>
              <w:top w:w="100" w:type="dxa"/>
              <w:left w:w="100" w:type="dxa"/>
              <w:bottom w:w="100" w:type="dxa"/>
              <w:right w:w="100" w:type="dxa"/>
            </w:tcMar>
            <w:hideMark/>
          </w:tcPr>
          <w:p w14:paraId="0A7393BE"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Parameter</w:t>
            </w:r>
          </w:p>
        </w:tc>
        <w:tc>
          <w:tcPr>
            <w:tcW w:w="0" w:type="auto"/>
            <w:tcMar>
              <w:top w:w="100" w:type="dxa"/>
              <w:left w:w="100" w:type="dxa"/>
              <w:bottom w:w="100" w:type="dxa"/>
              <w:right w:w="100" w:type="dxa"/>
            </w:tcMar>
            <w:hideMark/>
          </w:tcPr>
          <w:p w14:paraId="0EF7977A"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Existing Knowledge*</w:t>
            </w:r>
          </w:p>
        </w:tc>
        <w:tc>
          <w:tcPr>
            <w:tcW w:w="0" w:type="auto"/>
            <w:tcMar>
              <w:top w:w="100" w:type="dxa"/>
              <w:left w:w="100" w:type="dxa"/>
              <w:bottom w:w="100" w:type="dxa"/>
              <w:right w:w="100" w:type="dxa"/>
            </w:tcMar>
            <w:hideMark/>
          </w:tcPr>
          <w:p w14:paraId="4B7ACBD2"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Limitations or Knowledge gaps? </w:t>
            </w:r>
          </w:p>
        </w:tc>
        <w:tc>
          <w:tcPr>
            <w:tcW w:w="0" w:type="auto"/>
            <w:tcMar>
              <w:top w:w="100" w:type="dxa"/>
              <w:left w:w="100" w:type="dxa"/>
              <w:bottom w:w="100" w:type="dxa"/>
              <w:right w:w="100" w:type="dxa"/>
            </w:tcMar>
            <w:hideMark/>
          </w:tcPr>
          <w:p w14:paraId="40EA04BA" w14:textId="77777777" w:rsidR="00372592" w:rsidRPr="00372592" w:rsidRDefault="00372592" w:rsidP="00372592">
            <w:pPr>
              <w:spacing w:before="0" w:after="0"/>
              <w:rPr>
                <w:rFonts w:eastAsia="Times New Roman" w:cs="Times New Roman"/>
                <w:szCs w:val="24"/>
              </w:rPr>
            </w:pPr>
            <w:r w:rsidRPr="00372592">
              <w:rPr>
                <w:rFonts w:eastAsia="Times New Roman" w:cs="Times New Roman"/>
                <w:b/>
                <w:bCs/>
                <w:color w:val="000000"/>
                <w:sz w:val="20"/>
                <w:szCs w:val="20"/>
              </w:rPr>
              <w:t>Data Type</w:t>
            </w:r>
          </w:p>
        </w:tc>
      </w:tr>
      <w:tr w:rsidR="00F64149" w:rsidRPr="00372592" w14:paraId="5601FED3" w14:textId="77777777" w:rsidTr="00A737C5">
        <w:trPr>
          <w:trHeight w:val="400"/>
        </w:trPr>
        <w:tc>
          <w:tcPr>
            <w:tcW w:w="0" w:type="auto"/>
            <w:tcMar>
              <w:top w:w="100" w:type="dxa"/>
              <w:left w:w="100" w:type="dxa"/>
              <w:bottom w:w="100" w:type="dxa"/>
              <w:right w:w="100" w:type="dxa"/>
            </w:tcMar>
            <w:hideMark/>
          </w:tcPr>
          <w:p w14:paraId="3E5977F2"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ν- rates of biotic-mediated chemical transformations</w:t>
            </w:r>
          </w:p>
        </w:tc>
        <w:tc>
          <w:tcPr>
            <w:tcW w:w="0" w:type="auto"/>
            <w:tcMar>
              <w:top w:w="100" w:type="dxa"/>
              <w:left w:w="100" w:type="dxa"/>
              <w:bottom w:w="100" w:type="dxa"/>
              <w:right w:w="100" w:type="dxa"/>
            </w:tcMar>
            <w:hideMark/>
          </w:tcPr>
          <w:p w14:paraId="095B4AD2" w14:textId="52C97FD5" w:rsidR="00372592" w:rsidRPr="00372592" w:rsidRDefault="00372592" w:rsidP="00372592">
            <w:pPr>
              <w:spacing w:before="0" w:after="0"/>
              <w:rPr>
                <w:rFonts w:eastAsia="Times New Roman" w:cs="Times New Roman"/>
              </w:rPr>
            </w:pPr>
            <w:r w:rsidRPr="25FBD9A6">
              <w:rPr>
                <w:rFonts w:eastAsia="Times New Roman" w:cs="Times New Roman"/>
                <w:color w:val="000000" w:themeColor="text1"/>
                <w:sz w:val="20"/>
                <w:szCs w:val="20"/>
              </w:rPr>
              <w:t xml:space="preserve">Methods to measure N-cycle reactions </w:t>
            </w:r>
            <w:r w:rsidRPr="25FBD9A6">
              <w:rPr>
                <w:rFonts w:eastAsia="Times New Roman" w:cs="Times New Roman"/>
                <w:i/>
                <w:color w:val="000000" w:themeColor="text1"/>
                <w:sz w:val="20"/>
                <w:szCs w:val="20"/>
              </w:rPr>
              <w:t>in situ</w:t>
            </w:r>
            <w:r w:rsidRPr="25FBD9A6">
              <w:rPr>
                <w:rFonts w:eastAsia="Times New Roman" w:cs="Times New Roman"/>
                <w:color w:val="000000" w:themeColor="text1"/>
                <w:sz w:val="20"/>
                <w:szCs w:val="20"/>
              </w:rPr>
              <w:t xml:space="preserve"> </w:t>
            </w:r>
            <w:r w:rsidR="2F4C535C" w:rsidRPr="25FBD9A6">
              <w:rPr>
                <w:rFonts w:eastAsia="Times New Roman" w:cs="Times New Roman"/>
                <w:color w:val="000000" w:themeColor="text1"/>
                <w:sz w:val="20"/>
                <w:szCs w:val="20"/>
              </w:rPr>
              <w:t>and</w:t>
            </w:r>
            <w:r w:rsidRPr="25FBD9A6">
              <w:rPr>
                <w:rFonts w:eastAsia="Times New Roman" w:cs="Times New Roman"/>
                <w:color w:val="000000" w:themeColor="text1"/>
                <w:sz w:val="20"/>
                <w:szCs w:val="20"/>
              </w:rPr>
              <w:t xml:space="preserve"> </w:t>
            </w:r>
            <w:r w:rsidRPr="25FBD9A6">
              <w:rPr>
                <w:rFonts w:eastAsia="Times New Roman" w:cs="Times New Roman"/>
                <w:i/>
                <w:color w:val="000000" w:themeColor="text1"/>
                <w:sz w:val="20"/>
                <w:szCs w:val="20"/>
              </w:rPr>
              <w:t>in vitro</w:t>
            </w:r>
            <w:r w:rsidRPr="25FBD9A6">
              <w:rPr>
                <w:rFonts w:eastAsia="Times New Roman" w:cs="Times New Roman"/>
                <w:color w:val="000000" w:themeColor="text1"/>
                <w:sz w:val="20"/>
                <w:szCs w:val="20"/>
              </w:rPr>
              <w:t>, measured in some conditions</w:t>
            </w:r>
          </w:p>
        </w:tc>
        <w:tc>
          <w:tcPr>
            <w:tcW w:w="0" w:type="auto"/>
            <w:tcMar>
              <w:top w:w="100" w:type="dxa"/>
              <w:left w:w="100" w:type="dxa"/>
              <w:bottom w:w="100" w:type="dxa"/>
              <w:right w:w="100" w:type="dxa"/>
            </w:tcMar>
            <w:hideMark/>
          </w:tcPr>
          <w:p w14:paraId="0E520DD8"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Not measured as compartment specific or community-level </w:t>
            </w:r>
          </w:p>
        </w:tc>
        <w:tc>
          <w:tcPr>
            <w:tcW w:w="0" w:type="auto"/>
            <w:vMerge w:val="restart"/>
            <w:tcMar>
              <w:top w:w="100" w:type="dxa"/>
              <w:left w:w="100" w:type="dxa"/>
              <w:bottom w:w="100" w:type="dxa"/>
              <w:right w:w="100" w:type="dxa"/>
            </w:tcMar>
            <w:hideMark/>
          </w:tcPr>
          <w:p w14:paraId="7CE9C9BE" w14:textId="4B6F8239"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 xml:space="preserve">Matrices of rate laws, their kinetic parameters, reactions rates given different environmental conditions, ability to calculate flux for one </w:t>
            </w:r>
            <w:r w:rsidR="00261AB5" w:rsidRPr="00372592">
              <w:rPr>
                <w:rFonts w:eastAsia="Times New Roman" w:cs="Times New Roman"/>
                <w:color w:val="000000"/>
                <w:sz w:val="20"/>
                <w:szCs w:val="20"/>
              </w:rPr>
              <w:t>compartment.</w:t>
            </w:r>
            <w:r w:rsidRPr="00372592">
              <w:rPr>
                <w:rFonts w:eastAsia="Times New Roman" w:cs="Times New Roman"/>
                <w:color w:val="000000"/>
                <w:sz w:val="20"/>
                <w:szCs w:val="20"/>
              </w:rPr>
              <w:t> </w:t>
            </w:r>
          </w:p>
          <w:p w14:paraId="2FED79A8" w14:textId="77777777" w:rsidR="00372592" w:rsidRPr="00372592" w:rsidRDefault="00372592" w:rsidP="00372592">
            <w:pPr>
              <w:spacing w:before="0" w:after="0"/>
              <w:rPr>
                <w:rFonts w:eastAsia="Times New Roman" w:cs="Times New Roman"/>
                <w:szCs w:val="24"/>
              </w:rPr>
            </w:pPr>
          </w:p>
          <w:p w14:paraId="4460F0C8" w14:textId="0A911DD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Data results from chemistry experiments, in situ monitoring, activity assays on whole communities, cells and isolated enzymes</w:t>
            </w:r>
            <w:r w:rsidR="00261AB5">
              <w:rPr>
                <w:rFonts w:eastAsia="Times New Roman" w:cs="Times New Roman"/>
                <w:color w:val="000000"/>
                <w:sz w:val="20"/>
                <w:szCs w:val="20"/>
              </w:rPr>
              <w:t>.</w:t>
            </w:r>
          </w:p>
        </w:tc>
      </w:tr>
      <w:tr w:rsidR="00F64149" w:rsidRPr="00372592" w14:paraId="0CCCBA51" w14:textId="77777777" w:rsidTr="00A737C5">
        <w:trPr>
          <w:trHeight w:val="400"/>
        </w:trPr>
        <w:tc>
          <w:tcPr>
            <w:tcW w:w="0" w:type="auto"/>
            <w:tcMar>
              <w:top w:w="100" w:type="dxa"/>
              <w:left w:w="100" w:type="dxa"/>
              <w:bottom w:w="100" w:type="dxa"/>
              <w:right w:w="100" w:type="dxa"/>
            </w:tcMar>
            <w:hideMark/>
          </w:tcPr>
          <w:p w14:paraId="2599BA26"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υ- rates of abiotic chemical transformations</w:t>
            </w:r>
          </w:p>
        </w:tc>
        <w:tc>
          <w:tcPr>
            <w:tcW w:w="0" w:type="auto"/>
            <w:tcMar>
              <w:top w:w="100" w:type="dxa"/>
              <w:left w:w="100" w:type="dxa"/>
              <w:bottom w:w="100" w:type="dxa"/>
              <w:right w:w="100" w:type="dxa"/>
            </w:tcMar>
            <w:hideMark/>
          </w:tcPr>
          <w:p w14:paraId="158700F3" w14:textId="54D0B0FD" w:rsidR="00372592" w:rsidRPr="00372592" w:rsidRDefault="00372592" w:rsidP="00372592">
            <w:pPr>
              <w:spacing w:before="0" w:after="0"/>
              <w:rPr>
                <w:rFonts w:eastAsia="Times New Roman" w:cs="Times New Roman"/>
              </w:rPr>
            </w:pPr>
            <w:r w:rsidRPr="25FBD9A6">
              <w:rPr>
                <w:rFonts w:eastAsia="Times New Roman" w:cs="Times New Roman"/>
                <w:color w:val="000000" w:themeColor="text1"/>
                <w:sz w:val="20"/>
                <w:szCs w:val="20"/>
              </w:rPr>
              <w:t xml:space="preserve">Have </w:t>
            </w:r>
            <w:proofErr w:type="spellStart"/>
            <w:r w:rsidRPr="25FBD9A6">
              <w:rPr>
                <w:rFonts w:eastAsia="Times New Roman" w:cs="Times New Roman"/>
                <w:color w:val="000000" w:themeColor="text1"/>
                <w:sz w:val="20"/>
                <w:szCs w:val="20"/>
              </w:rPr>
              <w:t>k</w:t>
            </w:r>
            <w:r w:rsidRPr="25FBD9A6">
              <w:rPr>
                <w:rFonts w:eastAsia="Times New Roman" w:cs="Times New Roman"/>
                <w:color w:val="000000" w:themeColor="text1"/>
                <w:sz w:val="12"/>
                <w:szCs w:val="12"/>
                <w:vertAlign w:val="subscript"/>
              </w:rPr>
              <w:t>sp</w:t>
            </w:r>
            <w:proofErr w:type="spellEnd"/>
            <w:r w:rsidRPr="25FBD9A6">
              <w:rPr>
                <w:rFonts w:eastAsia="Times New Roman" w:cs="Times New Roman"/>
                <w:color w:val="000000" w:themeColor="text1"/>
                <w:sz w:val="20"/>
                <w:szCs w:val="20"/>
              </w:rPr>
              <w:t xml:space="preserve"> and other parameters for some N,</w:t>
            </w:r>
            <w:r w:rsidR="6A7679EC" w:rsidRPr="25FBD9A6">
              <w:rPr>
                <w:rFonts w:eastAsia="Times New Roman" w:cs="Times New Roman"/>
                <w:color w:val="000000" w:themeColor="text1"/>
                <w:sz w:val="20"/>
                <w:szCs w:val="20"/>
              </w:rPr>
              <w:t xml:space="preserve"> </w:t>
            </w:r>
            <w:r w:rsidRPr="25FBD9A6">
              <w:rPr>
                <w:rFonts w:eastAsia="Times New Roman" w:cs="Times New Roman"/>
                <w:color w:val="000000" w:themeColor="text1"/>
                <w:sz w:val="20"/>
                <w:szCs w:val="20"/>
              </w:rPr>
              <w:t>S, C cycle reactions</w:t>
            </w:r>
          </w:p>
        </w:tc>
        <w:tc>
          <w:tcPr>
            <w:tcW w:w="0" w:type="auto"/>
            <w:tcMar>
              <w:top w:w="100" w:type="dxa"/>
              <w:left w:w="100" w:type="dxa"/>
              <w:bottom w:w="100" w:type="dxa"/>
              <w:right w:w="100" w:type="dxa"/>
            </w:tcMar>
            <w:hideMark/>
          </w:tcPr>
          <w:p w14:paraId="773C2624"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Not known for all reactions and not in compartment specific conditions </w:t>
            </w:r>
          </w:p>
        </w:tc>
        <w:tc>
          <w:tcPr>
            <w:tcW w:w="0" w:type="auto"/>
            <w:vMerge/>
            <w:vAlign w:val="center"/>
            <w:hideMark/>
          </w:tcPr>
          <w:p w14:paraId="5990384D" w14:textId="77777777" w:rsidR="00372592" w:rsidRPr="00372592" w:rsidRDefault="00372592" w:rsidP="00372592">
            <w:pPr>
              <w:spacing w:before="0" w:after="0"/>
              <w:rPr>
                <w:rFonts w:eastAsia="Times New Roman" w:cs="Times New Roman"/>
                <w:szCs w:val="24"/>
              </w:rPr>
            </w:pPr>
          </w:p>
        </w:tc>
      </w:tr>
      <w:tr w:rsidR="00F64149" w:rsidRPr="00372592" w14:paraId="60355A70" w14:textId="77777777" w:rsidTr="00A737C5">
        <w:trPr>
          <w:trHeight w:val="400"/>
        </w:trPr>
        <w:tc>
          <w:tcPr>
            <w:tcW w:w="0" w:type="auto"/>
            <w:tcMar>
              <w:top w:w="100" w:type="dxa"/>
              <w:left w:w="100" w:type="dxa"/>
              <w:bottom w:w="100" w:type="dxa"/>
              <w:right w:w="100" w:type="dxa"/>
            </w:tcMar>
            <w:hideMark/>
          </w:tcPr>
          <w:p w14:paraId="25146ED3"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σ- chemical reaction matrix</w:t>
            </w:r>
          </w:p>
        </w:tc>
        <w:tc>
          <w:tcPr>
            <w:tcW w:w="0" w:type="auto"/>
            <w:tcMar>
              <w:top w:w="100" w:type="dxa"/>
              <w:left w:w="100" w:type="dxa"/>
              <w:bottom w:w="100" w:type="dxa"/>
              <w:right w:w="100" w:type="dxa"/>
            </w:tcMar>
            <w:hideMark/>
          </w:tcPr>
          <w:p w14:paraId="1BEC4D60"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N&amp;S cycle reactions, methods to calculate flux-based metabolic models based on metagenomes</w:t>
            </w:r>
          </w:p>
        </w:tc>
        <w:tc>
          <w:tcPr>
            <w:tcW w:w="0" w:type="auto"/>
            <w:tcMar>
              <w:top w:w="100" w:type="dxa"/>
              <w:left w:w="100" w:type="dxa"/>
              <w:bottom w:w="100" w:type="dxa"/>
              <w:right w:w="100" w:type="dxa"/>
            </w:tcMar>
            <w:hideMark/>
          </w:tcPr>
          <w:p w14:paraId="5361229B"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Impossible to describe all, need boundary conditions &amp; knowledge of causal factors (use of DOE)</w:t>
            </w:r>
          </w:p>
        </w:tc>
        <w:tc>
          <w:tcPr>
            <w:tcW w:w="0" w:type="auto"/>
            <w:vMerge/>
            <w:vAlign w:val="center"/>
            <w:hideMark/>
          </w:tcPr>
          <w:p w14:paraId="50798021" w14:textId="77777777" w:rsidR="00372592" w:rsidRPr="00372592" w:rsidRDefault="00372592" w:rsidP="00372592">
            <w:pPr>
              <w:spacing w:before="0" w:after="0"/>
              <w:rPr>
                <w:rFonts w:eastAsia="Times New Roman" w:cs="Times New Roman"/>
                <w:szCs w:val="24"/>
              </w:rPr>
            </w:pPr>
          </w:p>
        </w:tc>
      </w:tr>
      <w:tr w:rsidR="00F64149" w:rsidRPr="00372592" w14:paraId="1662AEE6" w14:textId="77777777" w:rsidTr="00A737C5">
        <w:trPr>
          <w:trHeight w:val="400"/>
        </w:trPr>
        <w:tc>
          <w:tcPr>
            <w:tcW w:w="0" w:type="auto"/>
            <w:tcMar>
              <w:top w:w="100" w:type="dxa"/>
              <w:left w:w="100" w:type="dxa"/>
              <w:bottom w:w="100" w:type="dxa"/>
              <w:right w:w="100" w:type="dxa"/>
            </w:tcMar>
            <w:hideMark/>
          </w:tcPr>
          <w:p w14:paraId="79DB5C77"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g- specific growth rate</w:t>
            </w:r>
          </w:p>
        </w:tc>
        <w:tc>
          <w:tcPr>
            <w:tcW w:w="0" w:type="auto"/>
            <w:tcMar>
              <w:top w:w="100" w:type="dxa"/>
              <w:left w:w="100" w:type="dxa"/>
              <w:bottom w:w="100" w:type="dxa"/>
              <w:right w:w="100" w:type="dxa"/>
            </w:tcMar>
            <w:hideMark/>
          </w:tcPr>
          <w:p w14:paraId="6F774301"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Measured for some ORR isolates</w:t>
            </w:r>
          </w:p>
        </w:tc>
        <w:tc>
          <w:tcPr>
            <w:tcW w:w="0" w:type="auto"/>
            <w:vMerge w:val="restart"/>
            <w:tcMar>
              <w:top w:w="100" w:type="dxa"/>
              <w:left w:w="100" w:type="dxa"/>
              <w:bottom w:w="100" w:type="dxa"/>
              <w:right w:w="100" w:type="dxa"/>
            </w:tcMar>
            <w:hideMark/>
          </w:tcPr>
          <w:p w14:paraId="4D526E48" w14:textId="48DABCFD" w:rsidR="00372592" w:rsidRPr="00372592" w:rsidRDefault="5A0F060C" w:rsidP="23948B6D">
            <w:pPr>
              <w:spacing w:before="0" w:after="0"/>
              <w:rPr>
                <w:rFonts w:eastAsia="Times New Roman" w:cs="Times New Roman"/>
              </w:rPr>
            </w:pPr>
            <w:r w:rsidRPr="23948B6D">
              <w:rPr>
                <w:rFonts w:eastAsia="Times New Roman" w:cs="Times New Roman"/>
                <w:color w:val="000000" w:themeColor="text1"/>
                <w:sz w:val="20"/>
                <w:szCs w:val="20"/>
              </w:rPr>
              <w:t xml:space="preserve">Not high throughput, </w:t>
            </w:r>
            <w:r w:rsidR="00261AB5" w:rsidRPr="23948B6D">
              <w:rPr>
                <w:rFonts w:eastAsia="Times New Roman" w:cs="Times New Roman"/>
                <w:color w:val="000000" w:themeColor="text1"/>
                <w:sz w:val="20"/>
                <w:szCs w:val="20"/>
              </w:rPr>
              <w:t>strain,</w:t>
            </w:r>
            <w:r w:rsidRPr="23948B6D">
              <w:rPr>
                <w:rFonts w:eastAsia="Times New Roman" w:cs="Times New Roman"/>
                <w:color w:val="000000" w:themeColor="text1"/>
                <w:sz w:val="20"/>
                <w:szCs w:val="20"/>
              </w:rPr>
              <w:t xml:space="preserve"> and condition variability </w:t>
            </w:r>
            <w:r w:rsidR="7D998553" w:rsidRPr="23948B6D">
              <w:rPr>
                <w:rFonts w:eastAsia="Times New Roman" w:cs="Times New Roman"/>
                <w:color w:val="000000" w:themeColor="text1"/>
                <w:sz w:val="20"/>
                <w:szCs w:val="20"/>
              </w:rPr>
              <w:t xml:space="preserve">in different </w:t>
            </w:r>
            <w:r w:rsidR="6BB8848F" w:rsidRPr="23948B6D">
              <w:rPr>
                <w:rFonts w:eastAsia="Times New Roman" w:cs="Times New Roman"/>
                <w:color w:val="000000" w:themeColor="text1"/>
                <w:sz w:val="20"/>
                <w:szCs w:val="20"/>
              </w:rPr>
              <w:lastRenderedPageBreak/>
              <w:t>environments</w:t>
            </w:r>
            <w:r w:rsidR="7D998553" w:rsidRPr="23948B6D">
              <w:rPr>
                <w:rFonts w:eastAsia="Times New Roman" w:cs="Times New Roman"/>
                <w:color w:val="000000" w:themeColor="text1"/>
                <w:sz w:val="20"/>
                <w:szCs w:val="20"/>
              </w:rPr>
              <w:t xml:space="preserve"> </w:t>
            </w:r>
            <w:r w:rsidRPr="23948B6D">
              <w:rPr>
                <w:rFonts w:eastAsia="Times New Roman" w:cs="Times New Roman"/>
                <w:color w:val="000000" w:themeColor="text1"/>
                <w:sz w:val="20"/>
                <w:szCs w:val="20"/>
              </w:rPr>
              <w:t>unknown, requires isolates</w:t>
            </w:r>
            <w:r w:rsidR="6BB8848F" w:rsidRPr="23948B6D">
              <w:rPr>
                <w:rFonts w:eastAsia="Times New Roman" w:cs="Times New Roman"/>
                <w:color w:val="000000" w:themeColor="text1"/>
                <w:sz w:val="20"/>
                <w:szCs w:val="20"/>
              </w:rPr>
              <w:t xml:space="preserve"> and good growth models properly bounded by </w:t>
            </w:r>
            <w:r w:rsidR="1347D881" w:rsidRPr="23948B6D">
              <w:rPr>
                <w:rFonts w:eastAsia="Times New Roman" w:cs="Times New Roman"/>
                <w:color w:val="000000" w:themeColor="text1"/>
                <w:sz w:val="20"/>
                <w:szCs w:val="20"/>
              </w:rPr>
              <w:t>nutrient and stressor flux constraints</w:t>
            </w:r>
          </w:p>
        </w:tc>
        <w:tc>
          <w:tcPr>
            <w:tcW w:w="0" w:type="auto"/>
            <w:vMerge/>
            <w:vAlign w:val="center"/>
            <w:hideMark/>
          </w:tcPr>
          <w:p w14:paraId="6E5D8FCD" w14:textId="77777777" w:rsidR="00372592" w:rsidRPr="00372592" w:rsidRDefault="00372592" w:rsidP="00372592">
            <w:pPr>
              <w:spacing w:before="0" w:after="0"/>
              <w:rPr>
                <w:rFonts w:eastAsia="Times New Roman" w:cs="Times New Roman"/>
                <w:szCs w:val="24"/>
              </w:rPr>
            </w:pPr>
          </w:p>
        </w:tc>
      </w:tr>
      <w:tr w:rsidR="00F64149" w:rsidRPr="00372592" w14:paraId="5FCCDBE1" w14:textId="77777777" w:rsidTr="00A737C5">
        <w:trPr>
          <w:trHeight w:val="400"/>
        </w:trPr>
        <w:tc>
          <w:tcPr>
            <w:tcW w:w="0" w:type="auto"/>
            <w:tcMar>
              <w:top w:w="100" w:type="dxa"/>
              <w:left w:w="100" w:type="dxa"/>
              <w:bottom w:w="100" w:type="dxa"/>
              <w:right w:w="100" w:type="dxa"/>
            </w:tcMar>
            <w:hideMark/>
          </w:tcPr>
          <w:p w14:paraId="62DC781B" w14:textId="77777777" w:rsidR="00372592" w:rsidRPr="00372592" w:rsidRDefault="00372592" w:rsidP="00372592">
            <w:pPr>
              <w:spacing w:before="0" w:after="0"/>
              <w:rPr>
                <w:rFonts w:eastAsia="Times New Roman" w:cs="Times New Roman"/>
                <w:szCs w:val="24"/>
              </w:rPr>
            </w:pPr>
            <w:proofErr w:type="spellStart"/>
            <w:r w:rsidRPr="00372592">
              <w:rPr>
                <w:rFonts w:eastAsia="Times New Roman" w:cs="Times New Roman"/>
                <w:color w:val="000000"/>
                <w:sz w:val="20"/>
                <w:szCs w:val="20"/>
              </w:rPr>
              <w:lastRenderedPageBreak/>
              <w:t>k</w:t>
            </w:r>
            <w:r w:rsidRPr="00372592">
              <w:rPr>
                <w:rFonts w:eastAsia="Times New Roman" w:cs="Times New Roman"/>
                <w:color w:val="000000"/>
                <w:sz w:val="12"/>
                <w:szCs w:val="12"/>
                <w:vertAlign w:val="subscript"/>
              </w:rPr>
              <w:t>max</w:t>
            </w:r>
            <w:proofErr w:type="spellEnd"/>
            <w:r w:rsidRPr="00372592">
              <w:rPr>
                <w:rFonts w:eastAsia="Times New Roman" w:cs="Times New Roman"/>
                <w:color w:val="000000"/>
                <w:sz w:val="20"/>
                <w:szCs w:val="20"/>
              </w:rPr>
              <w:t>, k</w:t>
            </w:r>
            <w:r w:rsidRPr="00372592">
              <w:rPr>
                <w:rFonts w:eastAsia="Times New Roman" w:cs="Times New Roman"/>
                <w:color w:val="000000"/>
                <w:sz w:val="12"/>
                <w:szCs w:val="12"/>
                <w:vertAlign w:val="subscript"/>
              </w:rPr>
              <w:t>m</w:t>
            </w:r>
            <w:r w:rsidRPr="00372592">
              <w:rPr>
                <w:rFonts w:eastAsia="Times New Roman" w:cs="Times New Roman"/>
                <w:color w:val="000000"/>
                <w:sz w:val="20"/>
                <w:szCs w:val="20"/>
              </w:rPr>
              <w:t xml:space="preserve">, </w:t>
            </w:r>
            <w:proofErr w:type="spellStart"/>
            <w:r w:rsidRPr="00372592">
              <w:rPr>
                <w:rFonts w:eastAsia="Times New Roman" w:cs="Times New Roman"/>
                <w:color w:val="000000"/>
                <w:sz w:val="20"/>
                <w:szCs w:val="20"/>
              </w:rPr>
              <w:t>k</w:t>
            </w:r>
            <w:r w:rsidRPr="00372592">
              <w:rPr>
                <w:rFonts w:eastAsia="Times New Roman" w:cs="Times New Roman"/>
                <w:color w:val="000000"/>
                <w:sz w:val="12"/>
                <w:szCs w:val="12"/>
                <w:vertAlign w:val="subscript"/>
              </w:rPr>
              <w:t>i</w:t>
            </w:r>
            <w:proofErr w:type="spellEnd"/>
            <w:r w:rsidRPr="00372592">
              <w:rPr>
                <w:rFonts w:eastAsia="Times New Roman" w:cs="Times New Roman"/>
                <w:color w:val="000000"/>
                <w:sz w:val="20"/>
                <w:szCs w:val="20"/>
              </w:rPr>
              <w:t xml:space="preserve"> - enzyme kinetic constants </w:t>
            </w:r>
          </w:p>
        </w:tc>
        <w:tc>
          <w:tcPr>
            <w:tcW w:w="0" w:type="auto"/>
            <w:tcMar>
              <w:top w:w="100" w:type="dxa"/>
              <w:left w:w="100" w:type="dxa"/>
              <w:bottom w:w="100" w:type="dxa"/>
              <w:right w:w="100" w:type="dxa"/>
            </w:tcMar>
            <w:hideMark/>
          </w:tcPr>
          <w:p w14:paraId="3EF899B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Measured for some N&amp;S cycle enzymes in some ORR isolates</w:t>
            </w:r>
          </w:p>
        </w:tc>
        <w:tc>
          <w:tcPr>
            <w:tcW w:w="0" w:type="auto"/>
            <w:vMerge/>
            <w:vAlign w:val="center"/>
            <w:hideMark/>
          </w:tcPr>
          <w:p w14:paraId="622F0A7A" w14:textId="77777777" w:rsidR="00372592" w:rsidRPr="00372592" w:rsidRDefault="00372592" w:rsidP="00372592">
            <w:pPr>
              <w:spacing w:before="0" w:after="0"/>
              <w:rPr>
                <w:rFonts w:eastAsia="Times New Roman" w:cs="Times New Roman"/>
                <w:szCs w:val="24"/>
              </w:rPr>
            </w:pPr>
          </w:p>
        </w:tc>
        <w:tc>
          <w:tcPr>
            <w:tcW w:w="0" w:type="auto"/>
            <w:vMerge/>
            <w:vAlign w:val="center"/>
            <w:hideMark/>
          </w:tcPr>
          <w:p w14:paraId="41B1DF35" w14:textId="77777777" w:rsidR="00372592" w:rsidRPr="00372592" w:rsidRDefault="00372592" w:rsidP="00372592">
            <w:pPr>
              <w:spacing w:before="0" w:after="0"/>
              <w:rPr>
                <w:rFonts w:eastAsia="Times New Roman" w:cs="Times New Roman"/>
                <w:szCs w:val="24"/>
              </w:rPr>
            </w:pPr>
          </w:p>
        </w:tc>
      </w:tr>
      <w:tr w:rsidR="00F64149" w:rsidRPr="00372592" w14:paraId="2B207803" w14:textId="77777777" w:rsidTr="00A737C5">
        <w:trPr>
          <w:trHeight w:val="400"/>
        </w:trPr>
        <w:tc>
          <w:tcPr>
            <w:tcW w:w="0" w:type="auto"/>
            <w:tcMar>
              <w:top w:w="100" w:type="dxa"/>
              <w:left w:w="100" w:type="dxa"/>
              <w:bottom w:w="100" w:type="dxa"/>
              <w:right w:w="100" w:type="dxa"/>
            </w:tcMar>
            <w:hideMark/>
          </w:tcPr>
          <w:p w14:paraId="511C2898" w14:textId="77777777" w:rsidR="00372592" w:rsidRPr="00372592" w:rsidRDefault="00372592" w:rsidP="00372592">
            <w:pPr>
              <w:spacing w:before="0" w:after="0"/>
              <w:rPr>
                <w:rFonts w:eastAsia="Times New Roman" w:cs="Times New Roman"/>
                <w:szCs w:val="24"/>
              </w:rPr>
            </w:pPr>
            <w:r w:rsidRPr="00372592">
              <w:rPr>
                <w:rFonts w:eastAsia="Times New Roman" w:cs="Times New Roman"/>
                <w:i/>
                <w:iCs/>
                <w:color w:val="000000"/>
                <w:sz w:val="20"/>
                <w:szCs w:val="20"/>
              </w:rPr>
              <w:t xml:space="preserve">gene set- </w:t>
            </w:r>
            <w:r w:rsidRPr="00372592">
              <w:rPr>
                <w:rFonts w:eastAsia="Times New Roman" w:cs="Times New Roman"/>
                <w:color w:val="000000"/>
                <w:sz w:val="20"/>
                <w:szCs w:val="20"/>
              </w:rPr>
              <w:t>all of the genes</w:t>
            </w:r>
          </w:p>
        </w:tc>
        <w:tc>
          <w:tcPr>
            <w:tcW w:w="0" w:type="auto"/>
            <w:tcMar>
              <w:top w:w="100" w:type="dxa"/>
              <w:left w:w="100" w:type="dxa"/>
              <w:bottom w:w="100" w:type="dxa"/>
              <w:right w:w="100" w:type="dxa"/>
            </w:tcMar>
            <w:hideMark/>
          </w:tcPr>
          <w:p w14:paraId="404E319A"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Annotated metagenomes of ORR microbial communities</w:t>
            </w:r>
          </w:p>
        </w:tc>
        <w:tc>
          <w:tcPr>
            <w:tcW w:w="0" w:type="auto"/>
            <w:tcMar>
              <w:top w:w="100" w:type="dxa"/>
              <w:left w:w="100" w:type="dxa"/>
              <w:bottom w:w="100" w:type="dxa"/>
              <w:right w:w="100" w:type="dxa"/>
            </w:tcMar>
            <w:hideMark/>
          </w:tcPr>
          <w:p w14:paraId="12D1A762"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Mis and un-annotated genes, proteins with multiple functions</w:t>
            </w:r>
          </w:p>
        </w:tc>
        <w:tc>
          <w:tcPr>
            <w:tcW w:w="0" w:type="auto"/>
            <w:tcMar>
              <w:top w:w="100" w:type="dxa"/>
              <w:left w:w="100" w:type="dxa"/>
              <w:bottom w:w="100" w:type="dxa"/>
              <w:right w:w="100" w:type="dxa"/>
            </w:tcMar>
            <w:hideMark/>
          </w:tcPr>
          <w:p w14:paraId="100F0431"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Annotation of DNA sequencing data</w:t>
            </w:r>
          </w:p>
        </w:tc>
      </w:tr>
      <w:tr w:rsidR="00F64149" w:rsidRPr="00372592" w14:paraId="426C93CF" w14:textId="77777777" w:rsidTr="00A737C5">
        <w:trPr>
          <w:trHeight w:val="400"/>
        </w:trPr>
        <w:tc>
          <w:tcPr>
            <w:tcW w:w="0" w:type="auto"/>
            <w:tcMar>
              <w:top w:w="100" w:type="dxa"/>
              <w:left w:w="100" w:type="dxa"/>
              <w:bottom w:w="100" w:type="dxa"/>
              <w:right w:w="100" w:type="dxa"/>
            </w:tcMar>
            <w:hideMark/>
          </w:tcPr>
          <w:p w14:paraId="17A8C503" w14:textId="3FEF7AEF" w:rsidR="00372592" w:rsidRPr="00372592" w:rsidRDefault="5A0F060C" w:rsidP="23948B6D">
            <w:pPr>
              <w:spacing w:before="0" w:after="0"/>
              <w:rPr>
                <w:rFonts w:eastAsia="Times New Roman" w:cs="Times New Roman"/>
              </w:rPr>
            </w:pPr>
            <w:r w:rsidRPr="23948B6D">
              <w:rPr>
                <w:rFonts w:eastAsia="Times New Roman" w:cs="Times New Roman"/>
                <w:color w:val="000000" w:themeColor="text1"/>
                <w:sz w:val="20"/>
                <w:szCs w:val="20"/>
              </w:rPr>
              <w:t>ε- enzyme concentration</w:t>
            </w:r>
            <w:r w:rsidR="1347D881" w:rsidRPr="23948B6D">
              <w:rPr>
                <w:rFonts w:eastAsia="Times New Roman" w:cs="Times New Roman"/>
                <w:color w:val="000000" w:themeColor="text1"/>
                <w:sz w:val="20"/>
                <w:szCs w:val="20"/>
              </w:rPr>
              <w:t xml:space="preserve"> and activity</w:t>
            </w:r>
          </w:p>
        </w:tc>
        <w:tc>
          <w:tcPr>
            <w:tcW w:w="0" w:type="auto"/>
            <w:tcMar>
              <w:top w:w="100" w:type="dxa"/>
              <w:left w:w="100" w:type="dxa"/>
              <w:bottom w:w="100" w:type="dxa"/>
              <w:right w:w="100" w:type="dxa"/>
            </w:tcMar>
            <w:hideMark/>
          </w:tcPr>
          <w:p w14:paraId="409AC73A"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 xml:space="preserve">N&amp;S cycle measured in isolates </w:t>
            </w:r>
            <w:r w:rsidRPr="00372592">
              <w:rPr>
                <w:rFonts w:eastAsia="Times New Roman" w:cs="Times New Roman"/>
                <w:i/>
                <w:iCs/>
                <w:color w:val="000000"/>
                <w:sz w:val="20"/>
                <w:szCs w:val="20"/>
              </w:rPr>
              <w:t>in vitro</w:t>
            </w:r>
          </w:p>
        </w:tc>
        <w:tc>
          <w:tcPr>
            <w:tcW w:w="0" w:type="auto"/>
            <w:tcMar>
              <w:top w:w="100" w:type="dxa"/>
              <w:left w:w="100" w:type="dxa"/>
              <w:bottom w:w="100" w:type="dxa"/>
              <w:right w:w="100" w:type="dxa"/>
            </w:tcMar>
            <w:hideMark/>
          </w:tcPr>
          <w:p w14:paraId="0CD9CC52"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 xml:space="preserve">Community or </w:t>
            </w:r>
            <w:r w:rsidRPr="00372592">
              <w:rPr>
                <w:rFonts w:eastAsia="Times New Roman" w:cs="Times New Roman"/>
                <w:i/>
                <w:iCs/>
                <w:color w:val="000000"/>
                <w:sz w:val="20"/>
                <w:szCs w:val="20"/>
              </w:rPr>
              <w:t xml:space="preserve">in vivo </w:t>
            </w:r>
            <w:r w:rsidRPr="00372592">
              <w:rPr>
                <w:rFonts w:eastAsia="Times New Roman" w:cs="Times New Roman"/>
                <w:color w:val="000000"/>
                <w:sz w:val="20"/>
                <w:szCs w:val="20"/>
              </w:rPr>
              <w:t>measurements </w:t>
            </w:r>
          </w:p>
        </w:tc>
        <w:tc>
          <w:tcPr>
            <w:tcW w:w="0" w:type="auto"/>
            <w:tcMar>
              <w:top w:w="100" w:type="dxa"/>
              <w:left w:w="100" w:type="dxa"/>
              <w:bottom w:w="100" w:type="dxa"/>
              <w:right w:w="100" w:type="dxa"/>
            </w:tcMar>
            <w:hideMark/>
          </w:tcPr>
          <w:p w14:paraId="1A802DD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 w:val="20"/>
                <w:szCs w:val="20"/>
              </w:rPr>
              <w:t>qPCR, transcriptomics, quantitative proteomics </w:t>
            </w:r>
          </w:p>
        </w:tc>
      </w:tr>
    </w:tbl>
    <w:p w14:paraId="5A6F5732"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rPr>
        <w:t>*for literature references of existing knowledge see Box 3</w:t>
      </w:r>
    </w:p>
    <w:p w14:paraId="7C7101B0" w14:textId="77777777" w:rsidR="00372592" w:rsidRPr="00372592" w:rsidRDefault="00372592" w:rsidP="00372592">
      <w:pPr>
        <w:spacing w:before="0" w:after="0"/>
        <w:rPr>
          <w:rFonts w:eastAsia="Times New Roman" w:cs="Times New Roman"/>
          <w:szCs w:val="24"/>
        </w:rPr>
      </w:pPr>
    </w:p>
    <w:p w14:paraId="165AA5B1" w14:textId="1739EE71" w:rsidR="00372592" w:rsidRPr="00372592" w:rsidRDefault="00372592" w:rsidP="00372592">
      <w:pPr>
        <w:spacing w:before="0" w:after="0"/>
        <w:rPr>
          <w:rFonts w:eastAsia="Times New Roman" w:cs="Times New Roman"/>
        </w:rPr>
      </w:pPr>
      <w:r w:rsidRPr="25FBD9A6">
        <w:rPr>
          <w:rFonts w:eastAsia="Times New Roman" w:cs="Times New Roman"/>
          <w:color w:val="000000" w:themeColor="text1"/>
          <w:u w:val="single"/>
        </w:rPr>
        <w:t>Identify knowledge gaps</w:t>
      </w:r>
      <w:r w:rsidRPr="25FBD9A6">
        <w:rPr>
          <w:rFonts w:eastAsia="Times New Roman" w:cs="Times New Roman"/>
          <w:color w:val="000000" w:themeColor="text1"/>
        </w:rPr>
        <w:t xml:space="preserve"> </w:t>
      </w:r>
      <w:r w:rsidRPr="00A737C5">
        <w:rPr>
          <w:rFonts w:eastAsia="Times New Roman" w:cs="Times New Roman"/>
          <w:color w:val="000000" w:themeColor="text1"/>
          <w:u w:val="single"/>
        </w:rPr>
        <w:t>(unpopulated or incompletely populated necessary terms</w:t>
      </w:r>
      <w:r w:rsidR="6AC509E8" w:rsidRPr="00A737C5">
        <w:rPr>
          <w:rFonts w:eastAsia="Times New Roman" w:cs="Times New Roman"/>
          <w:color w:val="000000" w:themeColor="text1"/>
          <w:u w:val="single"/>
        </w:rPr>
        <w:t>)</w:t>
      </w:r>
      <w:r w:rsidR="2668ADDF" w:rsidRPr="25FBD9A6">
        <w:rPr>
          <w:rFonts w:eastAsia="Times New Roman" w:cs="Times New Roman"/>
          <w:color w:val="000000" w:themeColor="text1"/>
        </w:rPr>
        <w:t>:</w:t>
      </w:r>
    </w:p>
    <w:p w14:paraId="2E932861" w14:textId="77777777"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While this is not a complete list, we list some of the knowledge gaps surrounding our target ecological process. Each knowledge gap pertains to how perturbations in the environment alter conditions and phenotype presentation in one compartment.  </w:t>
      </w:r>
    </w:p>
    <w:p w14:paraId="5E80EA1A" w14:textId="77777777" w:rsidR="00372592" w:rsidRPr="00372592" w:rsidRDefault="00372592" w:rsidP="00372592">
      <w:pPr>
        <w:numPr>
          <w:ilvl w:val="0"/>
          <w:numId w:val="23"/>
        </w:numPr>
        <w:spacing w:before="0" w:after="0"/>
        <w:textAlignment w:val="baseline"/>
        <w:rPr>
          <w:rFonts w:eastAsia="Times New Roman" w:cs="Times New Roman"/>
          <w:color w:val="000000"/>
          <w:szCs w:val="24"/>
        </w:rPr>
      </w:pPr>
      <w:r w:rsidRPr="00372592">
        <w:rPr>
          <w:rFonts w:eastAsia="Times New Roman" w:cs="Times New Roman"/>
          <w:color w:val="000000"/>
          <w:szCs w:val="24"/>
        </w:rPr>
        <w:t>Carbon source and electron donor preferences and availability stimulating different microbes and metabolisms, specifically for nitrous oxide producing microbes.</w:t>
      </w:r>
    </w:p>
    <w:p w14:paraId="12A1D19F" w14:textId="77777777" w:rsidR="00372592" w:rsidRPr="00372592" w:rsidRDefault="00372592" w:rsidP="00372592">
      <w:pPr>
        <w:numPr>
          <w:ilvl w:val="0"/>
          <w:numId w:val="23"/>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Effects of low pH on </w:t>
      </w:r>
      <w:proofErr w:type="spellStart"/>
      <w:r w:rsidRPr="00372592">
        <w:rPr>
          <w:rFonts w:eastAsia="Times New Roman" w:cs="Times New Roman"/>
          <w:color w:val="000000"/>
          <w:szCs w:val="24"/>
        </w:rPr>
        <w:t>NosZ</w:t>
      </w:r>
      <w:proofErr w:type="spellEnd"/>
      <w:r w:rsidRPr="00372592">
        <w:rPr>
          <w:rFonts w:eastAsia="Times New Roman" w:cs="Times New Roman"/>
          <w:color w:val="000000"/>
          <w:szCs w:val="24"/>
        </w:rPr>
        <w:t xml:space="preserve"> enzyme which converts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to nitrogen gas on the denitrification pathway. </w:t>
      </w:r>
    </w:p>
    <w:p w14:paraId="64F382FF" w14:textId="77777777" w:rsidR="00372592" w:rsidRPr="00372592" w:rsidRDefault="00372592" w:rsidP="00372592">
      <w:pPr>
        <w:numPr>
          <w:ilvl w:val="0"/>
          <w:numId w:val="23"/>
        </w:numPr>
        <w:spacing w:before="0" w:after="0"/>
        <w:textAlignment w:val="baseline"/>
        <w:rPr>
          <w:rFonts w:eastAsia="Times New Roman" w:cs="Times New Roman"/>
          <w:color w:val="000000"/>
          <w:szCs w:val="24"/>
        </w:rPr>
      </w:pPr>
      <w:r w:rsidRPr="00372592">
        <w:rPr>
          <w:rFonts w:eastAsia="Times New Roman" w:cs="Times New Roman"/>
          <w:color w:val="000000"/>
          <w:szCs w:val="24"/>
        </w:rPr>
        <w:t>The (bio)availability of molybdenum in the compartment of interest, an essential cofactor for the nitrate reductase enzyme activity to convert nitrate to nitrite.  </w:t>
      </w:r>
    </w:p>
    <w:p w14:paraId="6CF5605A" w14:textId="469B708C" w:rsidR="00372592" w:rsidRPr="00372592" w:rsidRDefault="00372592" w:rsidP="00372592">
      <w:pPr>
        <w:numPr>
          <w:ilvl w:val="0"/>
          <w:numId w:val="23"/>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The concentration, oxidation states and form of iron, </w:t>
      </w:r>
      <w:r w:rsidR="00261AB5" w:rsidRPr="00372592">
        <w:rPr>
          <w:rFonts w:eastAsia="Times New Roman" w:cs="Times New Roman"/>
          <w:color w:val="000000"/>
          <w:szCs w:val="24"/>
        </w:rPr>
        <w:t>manganese,</w:t>
      </w:r>
      <w:r w:rsidRPr="00372592">
        <w:rPr>
          <w:rFonts w:eastAsia="Times New Roman" w:cs="Times New Roman"/>
          <w:color w:val="000000"/>
          <w:szCs w:val="24"/>
        </w:rPr>
        <w:t xml:space="preserve"> and mineral catalysts such as “green rust,” and their impact on </w:t>
      </w:r>
      <w:proofErr w:type="spellStart"/>
      <w:r w:rsidRPr="00372592">
        <w:rPr>
          <w:rFonts w:eastAsia="Times New Roman" w:cs="Times New Roman"/>
          <w:color w:val="000000"/>
          <w:szCs w:val="24"/>
        </w:rPr>
        <w:t>chemodenitrification</w:t>
      </w:r>
      <w:proofErr w:type="spellEnd"/>
      <w:r w:rsidRPr="00372592">
        <w:rPr>
          <w:rFonts w:eastAsia="Times New Roman" w:cs="Times New Roman"/>
          <w:color w:val="000000"/>
          <w:szCs w:val="24"/>
        </w:rPr>
        <w:t>. </w:t>
      </w:r>
    </w:p>
    <w:p w14:paraId="1C7E563B" w14:textId="6F841949" w:rsidR="00372592" w:rsidRPr="00372592" w:rsidRDefault="00372592" w:rsidP="00372592">
      <w:pPr>
        <w:numPr>
          <w:ilvl w:val="0"/>
          <w:numId w:val="23"/>
        </w:numPr>
        <w:spacing w:before="0" w:after="0"/>
        <w:textAlignment w:val="baseline"/>
        <w:rPr>
          <w:rFonts w:eastAsia="Times New Roman" w:cs="Times New Roman"/>
          <w:color w:val="000000"/>
          <w:szCs w:val="24"/>
        </w:rPr>
      </w:pPr>
      <w:r w:rsidRPr="00372592">
        <w:rPr>
          <w:rFonts w:eastAsia="Times New Roman" w:cs="Times New Roman"/>
          <w:color w:val="000000"/>
          <w:szCs w:val="24"/>
        </w:rPr>
        <w:t>If sulfate-reducing bacteria are active in the compartment, and if the sulfide produced will shift nitrate respiration mode from denitrification to Dissimilatory Nitrate Reduction to Ammonia (DNRA) in any or all of the many types of denitrifying microorganisms. </w:t>
      </w:r>
    </w:p>
    <w:p w14:paraId="35BEE0E3" w14:textId="77777777" w:rsidR="00372592" w:rsidRPr="00372592" w:rsidRDefault="00372592" w:rsidP="00372592">
      <w:pPr>
        <w:numPr>
          <w:ilvl w:val="0"/>
          <w:numId w:val="23"/>
        </w:numPr>
        <w:spacing w:before="0" w:after="0"/>
        <w:textAlignment w:val="baseline"/>
        <w:rPr>
          <w:rFonts w:eastAsia="Times New Roman" w:cs="Times New Roman"/>
          <w:color w:val="000000"/>
        </w:rPr>
      </w:pPr>
      <w:r w:rsidRPr="25FBD9A6">
        <w:rPr>
          <w:rFonts w:eastAsia="Times New Roman" w:cs="Times New Roman"/>
          <w:color w:val="000000" w:themeColor="text1"/>
        </w:rPr>
        <w:t>If Ferric iron reducing bacteria are present in the compartment and generate ferrous iron that can influence denitrification end-products.</w:t>
      </w:r>
    </w:p>
    <w:p w14:paraId="42850D24" w14:textId="5BF44198" w:rsidR="25FBD9A6" w:rsidRDefault="25FBD9A6" w:rsidP="25FBD9A6">
      <w:pPr>
        <w:spacing w:before="0" w:after="0"/>
        <w:rPr>
          <w:rFonts w:eastAsia="Times New Roman" w:cs="Times New Roman"/>
          <w:color w:val="000000" w:themeColor="text1"/>
          <w:u w:val="single"/>
        </w:rPr>
      </w:pPr>
    </w:p>
    <w:p w14:paraId="76C63AEE"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State specific testable sub-hypothesis for each knowledge gap:</w:t>
      </w:r>
    </w:p>
    <w:p w14:paraId="2DCFADD4" w14:textId="77777777"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 Considering the knowledge gaps and existing information, this combination yields specific sub-hypotheses about the concurrent contributions of abiotic and biotic factors to the target environmental phenotype. These are some hypotheses that can be tested in the first experimental cycle. We expect model results to need refinement through the iterative testing of additional hypotheses in subsequent experimental cycles.  </w:t>
      </w:r>
    </w:p>
    <w:p w14:paraId="134C711D" w14:textId="77777777" w:rsidR="00372592" w:rsidRPr="00372592" w:rsidRDefault="00372592" w:rsidP="00372592">
      <w:pPr>
        <w:numPr>
          <w:ilvl w:val="0"/>
          <w:numId w:val="24"/>
        </w:numPr>
        <w:spacing w:before="0" w:after="0"/>
        <w:textAlignment w:val="baseline"/>
        <w:rPr>
          <w:rFonts w:eastAsia="Times New Roman" w:cs="Times New Roman"/>
          <w:color w:val="000000"/>
          <w:szCs w:val="24"/>
        </w:rPr>
      </w:pPr>
      <w:r w:rsidRPr="00372592">
        <w:rPr>
          <w:rFonts w:eastAsia="Times New Roman" w:cs="Times New Roman"/>
          <w:color w:val="000000"/>
          <w:szCs w:val="24"/>
        </w:rPr>
        <w:t>Nitrous oxide production will be stimulated by influx of carbon sources and electron donors from a rainfall event.  </w:t>
      </w:r>
    </w:p>
    <w:p w14:paraId="769C29DE" w14:textId="77777777" w:rsidR="00372592" w:rsidRPr="00372592" w:rsidRDefault="00372592" w:rsidP="00372592">
      <w:pPr>
        <w:numPr>
          <w:ilvl w:val="0"/>
          <w:numId w:val="24"/>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Low pH inhibits the </w:t>
      </w:r>
      <w:proofErr w:type="spellStart"/>
      <w:r w:rsidRPr="00372592">
        <w:rPr>
          <w:rFonts w:eastAsia="Times New Roman" w:cs="Times New Roman"/>
          <w:color w:val="000000"/>
          <w:szCs w:val="24"/>
        </w:rPr>
        <w:t>NosZ</w:t>
      </w:r>
      <w:proofErr w:type="spellEnd"/>
      <w:r w:rsidRPr="00372592">
        <w:rPr>
          <w:rFonts w:eastAsia="Times New Roman" w:cs="Times New Roman"/>
          <w:color w:val="000000"/>
          <w:szCs w:val="24"/>
        </w:rPr>
        <w:t xml:space="preserve"> enzyme, leading to an increase in nitrous oxide production over nitrogen gas.  </w:t>
      </w:r>
    </w:p>
    <w:p w14:paraId="5FFF1CA9" w14:textId="77777777" w:rsidR="00372592" w:rsidRPr="00372592" w:rsidRDefault="00372592" w:rsidP="00372592">
      <w:pPr>
        <w:numPr>
          <w:ilvl w:val="0"/>
          <w:numId w:val="24"/>
        </w:numPr>
        <w:spacing w:before="0" w:after="0"/>
        <w:textAlignment w:val="baseline"/>
        <w:rPr>
          <w:rFonts w:eastAsia="Times New Roman" w:cs="Times New Roman"/>
          <w:color w:val="000000"/>
          <w:szCs w:val="24"/>
        </w:rPr>
      </w:pPr>
      <w:r w:rsidRPr="00372592">
        <w:rPr>
          <w:rFonts w:eastAsia="Times New Roman" w:cs="Times New Roman"/>
          <w:color w:val="000000"/>
          <w:szCs w:val="24"/>
        </w:rPr>
        <w:t>Low amounts of molybdenum will inhibit nitrate reductase enzyme activity, leading to a decrease in nitrous oxide production.   </w:t>
      </w:r>
    </w:p>
    <w:p w14:paraId="58FB78B4" w14:textId="77777777" w:rsidR="00372592" w:rsidRPr="00372592" w:rsidRDefault="00372592" w:rsidP="00372592">
      <w:pPr>
        <w:numPr>
          <w:ilvl w:val="0"/>
          <w:numId w:val="24"/>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The concentration and oxidation states of iron and manganese will control rates of </w:t>
      </w:r>
      <w:proofErr w:type="spellStart"/>
      <w:r w:rsidRPr="00372592">
        <w:rPr>
          <w:rFonts w:eastAsia="Times New Roman" w:cs="Times New Roman"/>
          <w:color w:val="000000"/>
          <w:szCs w:val="24"/>
        </w:rPr>
        <w:t>chemodenitrification</w:t>
      </w:r>
      <w:proofErr w:type="spellEnd"/>
      <w:r w:rsidRPr="00372592">
        <w:rPr>
          <w:rFonts w:eastAsia="Times New Roman" w:cs="Times New Roman"/>
          <w:color w:val="000000"/>
          <w:szCs w:val="24"/>
        </w:rPr>
        <w:t xml:space="preserve"> and thereby the flux of nitrous oxide. </w:t>
      </w:r>
    </w:p>
    <w:p w14:paraId="42526E27" w14:textId="77777777" w:rsidR="00372592" w:rsidRPr="00372592" w:rsidRDefault="00372592" w:rsidP="00372592">
      <w:pPr>
        <w:numPr>
          <w:ilvl w:val="0"/>
          <w:numId w:val="24"/>
        </w:numPr>
        <w:spacing w:before="0" w:after="0"/>
        <w:textAlignment w:val="baseline"/>
        <w:rPr>
          <w:rFonts w:eastAsia="Times New Roman" w:cs="Times New Roman"/>
          <w:color w:val="000000"/>
        </w:rPr>
      </w:pPr>
      <w:r w:rsidRPr="25FBD9A6">
        <w:rPr>
          <w:rFonts w:eastAsia="Times New Roman" w:cs="Times New Roman"/>
          <w:color w:val="000000" w:themeColor="text1"/>
        </w:rPr>
        <w:t>Biogenic sulfide will shift nitrate respiration mode from denitrification to DNRA reducing the amount of nitrous oxide produced. </w:t>
      </w:r>
    </w:p>
    <w:p w14:paraId="44ED502F" w14:textId="2C0F592E" w:rsidR="25FBD9A6" w:rsidRDefault="25FBD9A6" w:rsidP="25FBD9A6">
      <w:pPr>
        <w:spacing w:before="0" w:after="0"/>
        <w:rPr>
          <w:rFonts w:eastAsia="Times New Roman" w:cs="Times New Roman"/>
          <w:color w:val="000000" w:themeColor="text1"/>
          <w:u w:val="single"/>
        </w:rPr>
      </w:pPr>
    </w:p>
    <w:p w14:paraId="6F58A30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lastRenderedPageBreak/>
        <w:t>Test prediction: Design and carry out experiments for each sub-hypothesis</w:t>
      </w:r>
    </w:p>
    <w:p w14:paraId="36746EEF" w14:textId="77777777"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The FICSME can be used iteratively to incorporate all hypotheses and concomitant processes and factors. For this example, one hypothesis would be evaluated at a time by changing the factors or perturbations tested at each stage of the proposed experimental cycle and then iterating as necessary. We describe one cycle that would initiate the process of determining the controls on nitrous oxide off-gassing in the ORR subsurface and how the interactions of microbes and geochemistry regulate this process. Multiple cycles would be needed to refine the model and to incorporate the diverse biotic and abiotic processes that contribute to phenotype presentation in complex environments. Researchers should determine acceptable levels of model accuracy and resolution before initiating the experimental cycle. </w:t>
      </w:r>
    </w:p>
    <w:p w14:paraId="2BD0A3A9" w14:textId="4356ABB9" w:rsidR="00372592" w:rsidRPr="00372592" w:rsidRDefault="5A0F060C" w:rsidP="23948B6D">
      <w:pPr>
        <w:numPr>
          <w:ilvl w:val="0"/>
          <w:numId w:val="25"/>
        </w:numPr>
        <w:spacing w:before="0" w:after="0"/>
        <w:textAlignment w:val="baseline"/>
        <w:rPr>
          <w:rFonts w:eastAsia="Times New Roman" w:cs="Times New Roman"/>
          <w:color w:val="000000"/>
        </w:rPr>
      </w:pPr>
      <w:r w:rsidRPr="23948B6D">
        <w:rPr>
          <w:rFonts w:eastAsia="Times New Roman" w:cs="Times New Roman"/>
          <w:color w:val="000000" w:themeColor="text1"/>
        </w:rPr>
        <w:t>Experiment 1: Survey microbial community, geochemistry and N2O produced before and after a rainfall event.</w:t>
      </w:r>
    </w:p>
    <w:p w14:paraId="7E236641"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Rationale: Rainfall events, which are frequent and significant at the ORR, act as perturbations to the individual compartments in the subsurface bringing a change in geochemical parameters like DO, nutrients, carbon sources and metals, as well as possibly introducing new cells to the microbial community. The first step is to assess for one compartment (with replicates) the composition of the microbial community and chemical constituents and the amount of nitrous oxide </w:t>
      </w:r>
      <w:proofErr w:type="spellStart"/>
      <w:r w:rsidRPr="00372592">
        <w:rPr>
          <w:rFonts w:eastAsia="Times New Roman" w:cs="Times New Roman"/>
          <w:color w:val="000000"/>
          <w:szCs w:val="24"/>
        </w:rPr>
        <w:t>effluxed</w:t>
      </w:r>
      <w:proofErr w:type="spellEnd"/>
      <w:r w:rsidRPr="00372592">
        <w:rPr>
          <w:rFonts w:eastAsia="Times New Roman" w:cs="Times New Roman"/>
          <w:color w:val="000000"/>
          <w:szCs w:val="24"/>
        </w:rPr>
        <w:t xml:space="preserve"> </w:t>
      </w:r>
      <w:r w:rsidRPr="00372592">
        <w:rPr>
          <w:rFonts w:eastAsia="Times New Roman" w:cs="Times New Roman"/>
          <w:i/>
          <w:iCs/>
          <w:color w:val="000000"/>
          <w:szCs w:val="24"/>
        </w:rPr>
        <w:t>in situ</w:t>
      </w:r>
      <w:r w:rsidRPr="00372592">
        <w:rPr>
          <w:rFonts w:eastAsia="Times New Roman" w:cs="Times New Roman"/>
          <w:color w:val="000000"/>
          <w:szCs w:val="24"/>
        </w:rPr>
        <w:t>. </w:t>
      </w:r>
    </w:p>
    <w:p w14:paraId="2F16BFFA"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Steps: 2a1 and 2a2 </w:t>
      </w:r>
    </w:p>
    <w:p w14:paraId="16CFB71C"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Target terms: n1 and c1 at the field level</w:t>
      </w:r>
    </w:p>
    <w:p w14:paraId="39B0661E" w14:textId="5DB351D1" w:rsidR="00372592" w:rsidRPr="00372592" w:rsidRDefault="5A0F060C" w:rsidP="23948B6D">
      <w:pPr>
        <w:numPr>
          <w:ilvl w:val="1"/>
          <w:numId w:val="25"/>
        </w:numPr>
        <w:spacing w:before="0" w:after="0"/>
        <w:textAlignment w:val="baseline"/>
        <w:rPr>
          <w:rFonts w:eastAsia="Times New Roman" w:cs="Times New Roman"/>
          <w:color w:val="000000"/>
        </w:rPr>
      </w:pPr>
      <w:r w:rsidRPr="23948B6D">
        <w:rPr>
          <w:rFonts w:eastAsia="Times New Roman" w:cs="Times New Roman"/>
          <w:color w:val="000000" w:themeColor="text1"/>
        </w:rPr>
        <w:t xml:space="preserve">Approach: This experiment would entail more of a survey style sampling of the subsurface and groundwater to monitor: the changes in composition of the microbial community, </w:t>
      </w:r>
      <w:r w:rsidR="3E3D4B5D" w:rsidRPr="23948B6D">
        <w:rPr>
          <w:rFonts w:eastAsia="Times New Roman" w:cs="Times New Roman"/>
          <w:color w:val="000000" w:themeColor="text1"/>
        </w:rPr>
        <w:t>activity of the community,</w:t>
      </w:r>
      <w:r w:rsidR="391D1C68" w:rsidRPr="23948B6D">
        <w:rPr>
          <w:rFonts w:eastAsia="Times New Roman" w:cs="Times New Roman"/>
          <w:color w:val="000000" w:themeColor="text1"/>
        </w:rPr>
        <w:t xml:space="preserve"> other meta-scale omics measurements, </w:t>
      </w:r>
      <w:r w:rsidRPr="23948B6D">
        <w:rPr>
          <w:rFonts w:eastAsia="Times New Roman" w:cs="Times New Roman"/>
          <w:color w:val="000000" w:themeColor="text1"/>
        </w:rPr>
        <w:t>concentrations of geochemical parameters, and amount of N</w:t>
      </w:r>
      <w:r w:rsidRPr="23948B6D">
        <w:rPr>
          <w:rFonts w:eastAsia="Times New Roman" w:cs="Times New Roman"/>
          <w:color w:val="000000" w:themeColor="text1"/>
          <w:sz w:val="14"/>
          <w:szCs w:val="14"/>
          <w:vertAlign w:val="subscript"/>
        </w:rPr>
        <w:t>2</w:t>
      </w:r>
      <w:r w:rsidRPr="23948B6D">
        <w:rPr>
          <w:rFonts w:eastAsia="Times New Roman" w:cs="Times New Roman"/>
          <w:color w:val="000000" w:themeColor="text1"/>
        </w:rPr>
        <w:t xml:space="preserve">O off-gassing before and after a rainfall event. </w:t>
      </w:r>
      <w:r w:rsidR="09351D06" w:rsidRPr="23948B6D">
        <w:rPr>
          <w:rFonts w:eastAsia="Times New Roman" w:cs="Times New Roman"/>
          <w:color w:val="000000" w:themeColor="text1"/>
        </w:rPr>
        <w:t xml:space="preserve">This can be a time series or two-point assay depending on budget and time. </w:t>
      </w:r>
      <w:r w:rsidRPr="23948B6D">
        <w:rPr>
          <w:rFonts w:eastAsia="Times New Roman" w:cs="Times New Roman"/>
          <w:color w:val="000000" w:themeColor="text1"/>
        </w:rPr>
        <w:t xml:space="preserve">True replication </w:t>
      </w:r>
      <w:r w:rsidRPr="23948B6D">
        <w:rPr>
          <w:rFonts w:eastAsia="Times New Roman" w:cs="Times New Roman"/>
          <w:i/>
          <w:iCs/>
          <w:color w:val="000000" w:themeColor="text1"/>
        </w:rPr>
        <w:t>in situ</w:t>
      </w:r>
      <w:r w:rsidRPr="23948B6D">
        <w:rPr>
          <w:rFonts w:eastAsia="Times New Roman" w:cs="Times New Roman"/>
          <w:color w:val="000000" w:themeColor="text1"/>
        </w:rPr>
        <w:t xml:space="preserve"> is impossible, but we would sample at least three geographically close and biogeochemically similar areas at the same depth for each replicate. Since we are starting with one compartment for this first experimental cycle, the sampling replicates would be from just one area at the ORR site. </w:t>
      </w:r>
    </w:p>
    <w:p w14:paraId="3F4A6889"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Expected Outcomes: The experiment would yield amplicon and metagenomics sequencing data, concentrations and identities of chemical components, values of environmental parameters like temperature and DO. By comparing the samples collected before and after a rainfall event, the chemical and microbial species that changed in membership or abundance would be of most interest because their change in presentation is most likely related to the rainfall perturbation event. Species that respond to the perturbation are more likely to be key players in the mechanism driving phenotype presentation. With the responsive microbes and </w:t>
      </w:r>
      <w:proofErr w:type="spellStart"/>
      <w:r w:rsidRPr="00372592">
        <w:rPr>
          <w:rFonts w:eastAsia="Times New Roman" w:cs="Times New Roman"/>
          <w:color w:val="000000"/>
          <w:szCs w:val="24"/>
        </w:rPr>
        <w:t>geochemistries</w:t>
      </w:r>
      <w:proofErr w:type="spellEnd"/>
      <w:r w:rsidRPr="00372592">
        <w:rPr>
          <w:rFonts w:eastAsia="Times New Roman" w:cs="Times New Roman"/>
          <w:color w:val="000000"/>
          <w:szCs w:val="24"/>
        </w:rPr>
        <w:t xml:space="preserve"> identified, they are selected for enrichment and factor testing in Experiment 2. </w:t>
      </w:r>
    </w:p>
    <w:p w14:paraId="24992F3B" w14:textId="77777777" w:rsidR="00372592" w:rsidRPr="00372592" w:rsidRDefault="00372592" w:rsidP="00372592">
      <w:pPr>
        <w:numPr>
          <w:ilvl w:val="0"/>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Experiment 2: Time series of enrichment in bioreactors before and after simulated rainfall, monitoring microbial populations and metabolites</w:t>
      </w:r>
    </w:p>
    <w:p w14:paraId="23B5ADA5"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Rationale: While a field sampling survey provides condition specific information, it does not permit replication nor investigation of effects of multiple perturbations rapidly. Therefore, the next step is to grow enrichments of the sampled microbial communities in replicate bioreactors and to quantitatively assay responses to applied system perturbations. </w:t>
      </w:r>
    </w:p>
    <w:p w14:paraId="0BD36A29"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Steps: 2b1 and 2b2 </w:t>
      </w:r>
    </w:p>
    <w:p w14:paraId="489C6ADB"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Target terms n3, c3 and c4 at the mesocosm level</w:t>
      </w:r>
    </w:p>
    <w:p w14:paraId="33BC23BC" w14:textId="7834F78B"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lastRenderedPageBreak/>
        <w:t xml:space="preserve">Approach: This experiment involves growing the enriched field communities in replicate bioreactors that attempt to mimic the geochemistry and sediment structure from the corresponding depth in the subsurface. Perturbations are quantitatively applied to the bioreactors that attempt to simulate environmental processes of interest like rainfall events. The changes to the community and chemistry are monitored with higher resolution techniques, true and more replicates, and finer time series samplings that assess the response of individual organisms, genes, </w:t>
      </w:r>
      <w:r w:rsidR="00261AB5" w:rsidRPr="00372592">
        <w:rPr>
          <w:rFonts w:eastAsia="Times New Roman" w:cs="Times New Roman"/>
          <w:color w:val="000000"/>
          <w:szCs w:val="24"/>
        </w:rPr>
        <w:t>proteins,</w:t>
      </w:r>
      <w:r w:rsidRPr="00372592">
        <w:rPr>
          <w:rFonts w:eastAsia="Times New Roman" w:cs="Times New Roman"/>
          <w:color w:val="000000"/>
          <w:szCs w:val="24"/>
        </w:rPr>
        <w:t xml:space="preserve"> and metabolites. Data types include metagenomics, transcriptomics, proteomics, metabolomics and the concentrations of chemicals from Experiment 1 like pH, temperature, nutrients and metals. </w:t>
      </w:r>
    </w:p>
    <w:p w14:paraId="53B3A469"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Expected Outcomes: The assays will pinpoint exactly which microbes and which chemicals are responsive to rainfall events and quantitate the direction and magnitude of that response. The key responsive microbes and chemicals are then isolated for even higher resolution studies in Experiment 3.  </w:t>
      </w:r>
    </w:p>
    <w:p w14:paraId="2DB72411" w14:textId="77777777" w:rsidR="00372592" w:rsidRPr="00372592" w:rsidRDefault="00372592" w:rsidP="00372592">
      <w:pPr>
        <w:numPr>
          <w:ilvl w:val="0"/>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Experiment 3: Systems analysis of field isolates responding to determined key factors</w:t>
      </w:r>
    </w:p>
    <w:p w14:paraId="65EF646F"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Rationale: Now that we know which microbes and which chemicals are responsive to rainfall event perturbations, the next step in determining causality is to decipher which genes, proteins and metabolites are active drivers of phenotype presentation and how they are acting. </w:t>
      </w:r>
    </w:p>
    <w:p w14:paraId="2BECE25F"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Steps: 2c1-3 </w:t>
      </w:r>
    </w:p>
    <w:p w14:paraId="39B52D81"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Target terms: g2, r1-r4 at the isolate/molecule level</w:t>
      </w:r>
    </w:p>
    <w:p w14:paraId="769F8347" w14:textId="3B18160F"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 xml:space="preserve">Approach: Experiment 3 is an </w:t>
      </w:r>
      <w:r w:rsidR="00261AB5" w:rsidRPr="00372592">
        <w:rPr>
          <w:rFonts w:eastAsia="Times New Roman" w:cs="Times New Roman"/>
          <w:color w:val="000000"/>
          <w:szCs w:val="24"/>
        </w:rPr>
        <w:t>in-depth</w:t>
      </w:r>
      <w:r w:rsidRPr="00372592">
        <w:rPr>
          <w:rFonts w:eastAsia="Times New Roman" w:cs="Times New Roman"/>
          <w:color w:val="000000"/>
          <w:szCs w:val="24"/>
        </w:rPr>
        <w:t xml:space="preserve"> study of the isolated microorganisms, enzymes, metabolites or abiotic factors that have been identified in having roles leading to the off-gassing of nitrous oxide. This can include characterization of regulation, toxicity mechanisms, nitrogen metabolism, gene function and enzyme activity, all assayed in a variety of field-mimicking conditions and over time that establish the boundaries of the behavior of each molecule and microbe. The focus in this first round of the experimental cycle would be to determine which microbes (and enzymes and genes) are carrying out each step of the complete denitrification pathway and what the controls and limits are on these strains, enzymes and gene expression. Combinations of transcriptomics and metabolomics or targeted qPCR are methods to find active molecules with certain functions. </w:t>
      </w:r>
    </w:p>
    <w:p w14:paraId="607C3DB1"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Expected Outcomes: The amassed knowledge from molecular reductionist studies will lead to proposing a mechanism that describes the chain of causality between the flux in biotic and abiotic factors during a rainfall event that leads to the observable phenotype in changes in the amount of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off-gassing. We will have identified the microbe responsible for carrying out each step of the complete denitrification pathway. We will then propose a mechanism for nitrous oxide production in this compartment that links microbial and chemical species and activities. </w:t>
      </w:r>
    </w:p>
    <w:p w14:paraId="195795BB" w14:textId="77777777" w:rsidR="00372592" w:rsidRPr="00372592" w:rsidRDefault="00372592" w:rsidP="00372592">
      <w:pPr>
        <w:numPr>
          <w:ilvl w:val="0"/>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Experiment 4: Demonstrate mechanism using a synthetic community of field isolates</w:t>
      </w:r>
    </w:p>
    <w:p w14:paraId="5017E606"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Rationale: Since the mechanism was proposed at the isolate level and directly testing in the field is costly and inefficient, the mechanism of nitrous oxide off-gassing should first be tested quantitatively in a simulated environment of a bioreactor, like experiment 2. However, this time, the bioreactor will be populated with a synthetic community of isolates from Experiment 3 because we want to verify the mechanism by only including factors that play an active role in the target process. </w:t>
      </w:r>
    </w:p>
    <w:p w14:paraId="3FE04BC5"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Steps: 2b3 </w:t>
      </w:r>
    </w:p>
    <w:p w14:paraId="1AC7AB5F"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Target terms: n1, g1 and c1 at the mesocosm level </w:t>
      </w:r>
    </w:p>
    <w:p w14:paraId="79061714"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lastRenderedPageBreak/>
        <w:t>Approach: This experiment entails populating the same bioreactor system in Experiment 2 with a synthetic community of the isolates from Experiment 3 that collectively will simulate the environment and phenotype by carrying out complete denitrification. A perturbation is induced quantitatively to test the mechanism proposed at the conclusion of Experiment 3 and measured over time. The main measurement is the amount of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produced. </w:t>
      </w:r>
    </w:p>
    <w:p w14:paraId="79B0439D"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Expected Outcomes: If the synthetic community validates the mechanism of nitrous oxide production in the compartment at this mesocosm level, then the prediction is tested back in the field. </w:t>
      </w:r>
    </w:p>
    <w:p w14:paraId="7A1EC6DB" w14:textId="77777777" w:rsidR="00372592" w:rsidRPr="00372592" w:rsidRDefault="00372592" w:rsidP="00372592">
      <w:pPr>
        <w:numPr>
          <w:ilvl w:val="0"/>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Experiment 5: Induce perturbation and determine if amount and rate of nitrous oxide off-gassing prediction is correct </w:t>
      </w:r>
    </w:p>
    <w:p w14:paraId="09BFC443" w14:textId="6E80C6A9"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Rationale: In order to determine the mechanism at a molecular level, it was necessary to simplify the system. However, to validate the mechanism and model of rate, amount and active factors leading to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 xml:space="preserve">O off-gassing in the ORR subsurface, </w:t>
      </w:r>
      <w:r w:rsidRPr="00372592">
        <w:rPr>
          <w:rFonts w:eastAsia="Times New Roman" w:cs="Times New Roman"/>
          <w:i/>
          <w:iCs/>
          <w:color w:val="000000"/>
          <w:szCs w:val="24"/>
        </w:rPr>
        <w:t>in situ</w:t>
      </w:r>
      <w:r w:rsidRPr="00372592">
        <w:rPr>
          <w:rFonts w:eastAsia="Times New Roman" w:cs="Times New Roman"/>
          <w:color w:val="000000"/>
          <w:szCs w:val="24"/>
        </w:rPr>
        <w:t xml:space="preserve"> testing is required. </w:t>
      </w:r>
    </w:p>
    <w:p w14:paraId="1CD8E5D4"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Steps: 2a2 and 2a3 </w:t>
      </w:r>
    </w:p>
    <w:p w14:paraId="47F5C54A" w14:textId="77777777"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Target terms n1, g1 and c1 at the field level</w:t>
      </w:r>
    </w:p>
    <w:p w14:paraId="3A9E8877" w14:textId="44B61D91" w:rsidR="00372592" w:rsidRPr="00372592" w:rsidRDefault="00372592" w:rsidP="00372592">
      <w:pPr>
        <w:numPr>
          <w:ilvl w:val="1"/>
          <w:numId w:val="25"/>
        </w:numPr>
        <w:spacing w:before="0" w:after="0"/>
        <w:textAlignment w:val="baseline"/>
        <w:rPr>
          <w:rFonts w:eastAsia="Times New Roman" w:cs="Times New Roman"/>
          <w:color w:val="000000"/>
          <w:szCs w:val="24"/>
        </w:rPr>
      </w:pPr>
      <w:r w:rsidRPr="00372592">
        <w:rPr>
          <w:rFonts w:eastAsia="Times New Roman" w:cs="Times New Roman"/>
          <w:color w:val="000000"/>
          <w:szCs w:val="24"/>
        </w:rPr>
        <w:t>Approach: This experiment involves going back to the original field site in Experiment 1 and introducing a quantitative perturbation into the system and monitoring the results of the prediction based on the determined mechanism. The primary measurement would be the rate and amount of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off-gassing, as the primary target of the hypothesis and model. However, monitoring other geochemistry and the microbial community would be advisable. The perturbation would likely be an amendment of a carbon source or other nutrient meant to stimulate a certain set of microbes into carrying out complete denitrification. </w:t>
      </w:r>
    </w:p>
    <w:p w14:paraId="6EE61C3D" w14:textId="06E9718F" w:rsidR="00372592" w:rsidRPr="00372592" w:rsidRDefault="00372592" w:rsidP="678B693E">
      <w:pPr>
        <w:numPr>
          <w:ilvl w:val="1"/>
          <w:numId w:val="25"/>
        </w:numPr>
        <w:spacing w:before="0" w:after="0"/>
        <w:textAlignment w:val="baseline"/>
        <w:rPr>
          <w:rFonts w:eastAsia="Times New Roman" w:cs="Times New Roman"/>
          <w:color w:val="000000"/>
        </w:rPr>
      </w:pPr>
      <w:r w:rsidRPr="678B693E">
        <w:rPr>
          <w:rFonts w:eastAsia="Times New Roman" w:cs="Times New Roman"/>
          <w:color w:val="000000" w:themeColor="text1"/>
        </w:rPr>
        <w:t>Expected Outcomes: If the model is correct, then the known amount of amendment added should result in the predicted amount and rate of N</w:t>
      </w:r>
      <w:r w:rsidRPr="678B693E">
        <w:rPr>
          <w:rFonts w:eastAsia="Times New Roman" w:cs="Times New Roman"/>
          <w:color w:val="000000" w:themeColor="text1"/>
          <w:sz w:val="14"/>
          <w:szCs w:val="14"/>
          <w:vertAlign w:val="subscript"/>
        </w:rPr>
        <w:t>2</w:t>
      </w:r>
      <w:r w:rsidRPr="678B693E">
        <w:rPr>
          <w:rFonts w:eastAsia="Times New Roman" w:cs="Times New Roman"/>
          <w:color w:val="000000" w:themeColor="text1"/>
        </w:rPr>
        <w:t>O off-gassing. If the model is not correct, the researcher should determine (before performing the experiment) what level of accuracy is sufficient for them to address their specific question. If the result is not correct, but within the boundaries, the researcher can proceed to Step 3. If the result lies outside the target boundaries, then it is necessary to re-evaluate the model and refine it by designing and performing more experiments.  </w:t>
      </w:r>
    </w:p>
    <w:p w14:paraId="56568E7E" w14:textId="31AA5078" w:rsidR="678B693E" w:rsidRDefault="678B693E" w:rsidP="678B693E">
      <w:pPr>
        <w:spacing w:before="0" w:after="0"/>
        <w:rPr>
          <w:rFonts w:eastAsia="Times New Roman" w:cs="Times New Roman"/>
          <w:color w:val="000000" w:themeColor="text1"/>
          <w:u w:val="single"/>
        </w:rPr>
      </w:pPr>
    </w:p>
    <w:p w14:paraId="0CD6364A"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Evaluate Result</w:t>
      </w:r>
      <w:r w:rsidRPr="00372592">
        <w:rPr>
          <w:rFonts w:eastAsia="Times New Roman" w:cs="Times New Roman"/>
          <w:color w:val="000000"/>
          <w:szCs w:val="24"/>
        </w:rPr>
        <w:t>: </w:t>
      </w:r>
    </w:p>
    <w:p w14:paraId="10ED7E8A" w14:textId="5EEEB112"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 xml:space="preserve">For each of the individual experiments performed, analyze the </w:t>
      </w:r>
      <w:r w:rsidR="00261AB5" w:rsidRPr="00372592">
        <w:rPr>
          <w:rFonts w:eastAsia="Times New Roman" w:cs="Times New Roman"/>
          <w:color w:val="000000"/>
          <w:szCs w:val="24"/>
        </w:rPr>
        <w:t>results,</w:t>
      </w:r>
      <w:r w:rsidRPr="00372592">
        <w:rPr>
          <w:rFonts w:eastAsia="Times New Roman" w:cs="Times New Roman"/>
          <w:color w:val="000000"/>
          <w:szCs w:val="24"/>
        </w:rPr>
        <w:t xml:space="preserve"> and see if it matched the prediction or if that knowledge gap filled. Refine as necessary by performing additional experiments or adding relevant parameters to the model. The decision process for this example has been described in each step. </w:t>
      </w:r>
    </w:p>
    <w:p w14:paraId="021C3CD1" w14:textId="77777777" w:rsidR="00372592" w:rsidRPr="00372592" w:rsidRDefault="00372592" w:rsidP="00372592">
      <w:pPr>
        <w:spacing w:before="0" w:after="0"/>
        <w:rPr>
          <w:rFonts w:eastAsia="Times New Roman" w:cs="Times New Roman"/>
          <w:szCs w:val="24"/>
        </w:rPr>
      </w:pPr>
    </w:p>
    <w:p w14:paraId="1055D8BF" w14:textId="7FCFEE0A" w:rsidR="00372592" w:rsidRPr="00A737C5" w:rsidRDefault="00372592" w:rsidP="00372592">
      <w:pPr>
        <w:spacing w:before="0" w:after="0"/>
        <w:rPr>
          <w:rFonts w:eastAsia="Times New Roman" w:cs="Times New Roman"/>
          <w:sz w:val="28"/>
          <w:szCs w:val="28"/>
        </w:rPr>
      </w:pPr>
      <w:r w:rsidRPr="00A737C5">
        <w:rPr>
          <w:rFonts w:eastAsia="Times New Roman" w:cs="Times New Roman"/>
          <w:b/>
          <w:color w:val="000000" w:themeColor="text1"/>
          <w:sz w:val="28"/>
          <w:szCs w:val="28"/>
        </w:rPr>
        <w:t>Step 3:</w:t>
      </w:r>
    </w:p>
    <w:p w14:paraId="4CBFDABC" w14:textId="0E99B253" w:rsidR="25FBD9A6" w:rsidRDefault="25FBD9A6" w:rsidP="25FBD9A6">
      <w:pPr>
        <w:spacing w:before="0" w:after="0"/>
        <w:rPr>
          <w:rFonts w:eastAsia="Times New Roman" w:cs="Times New Roman"/>
          <w:color w:val="000000" w:themeColor="text1"/>
          <w:u w:val="single"/>
        </w:rPr>
      </w:pPr>
    </w:p>
    <w:p w14:paraId="4868E16B"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Integrate data by populating terms with results from step 2</w:t>
      </w:r>
      <w:r w:rsidRPr="00372592">
        <w:rPr>
          <w:rFonts w:eastAsia="Times New Roman" w:cs="Times New Roman"/>
          <w:color w:val="000000"/>
          <w:szCs w:val="24"/>
        </w:rPr>
        <w:t>: </w:t>
      </w:r>
    </w:p>
    <w:p w14:paraId="7A9CA208" w14:textId="66EC00D9"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 xml:space="preserve">After completing the experimental cycle, the data is integrated by populating the acquired data into the selected terms of the FICSME. The value of one or more parameters should be altered and then calculate the resulting change. This should be compared to what was observed in the experiments and the hypothesis. In the case of this example, one might consider altering the pH, carbon source and nutrient load as carried out in Experiment 2 and seeing if the amount of </w:t>
      </w:r>
      <w:r w:rsidRPr="00372592">
        <w:rPr>
          <w:rFonts w:eastAsia="Times New Roman" w:cs="Times New Roman"/>
          <w:color w:val="000000"/>
          <w:szCs w:val="24"/>
        </w:rPr>
        <w:lastRenderedPageBreak/>
        <w:t>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measured matches the calculated amount from the model. More sophisticated computational methods for prediction testing in models should be employed to increase rigor.   </w:t>
      </w:r>
    </w:p>
    <w:p w14:paraId="6600F6C7" w14:textId="77777777" w:rsidR="00372592" w:rsidRPr="00372592" w:rsidRDefault="00372592" w:rsidP="00372592">
      <w:pPr>
        <w:spacing w:before="0" w:after="0"/>
        <w:rPr>
          <w:rFonts w:eastAsia="Times New Roman" w:cs="Times New Roman"/>
          <w:szCs w:val="24"/>
        </w:rPr>
      </w:pPr>
    </w:p>
    <w:p w14:paraId="4E082375" w14:textId="77777777" w:rsidR="00372592" w:rsidRPr="00372592" w:rsidRDefault="00372592" w:rsidP="00372592">
      <w:pPr>
        <w:spacing w:before="0" w:after="0"/>
        <w:rPr>
          <w:rFonts w:eastAsia="Times New Roman" w:cs="Times New Roman"/>
        </w:rPr>
      </w:pPr>
      <w:r w:rsidRPr="00A737C5">
        <w:rPr>
          <w:rFonts w:eastAsia="Times New Roman" w:cs="Times New Roman"/>
          <w:b/>
          <w:color w:val="000000" w:themeColor="text1"/>
          <w:sz w:val="28"/>
          <w:szCs w:val="28"/>
        </w:rPr>
        <w:t>Step 4:</w:t>
      </w:r>
      <w:r w:rsidRPr="25FBD9A6">
        <w:rPr>
          <w:rFonts w:eastAsia="Times New Roman" w:cs="Times New Roman"/>
          <w:b/>
          <w:color w:val="000000" w:themeColor="text1"/>
        </w:rPr>
        <w:t xml:space="preserve"> </w:t>
      </w:r>
      <w:r w:rsidRPr="25FBD9A6">
        <w:rPr>
          <w:rFonts w:eastAsia="Times New Roman" w:cs="Times New Roman"/>
          <w:color w:val="000000" w:themeColor="text1"/>
        </w:rPr>
        <w:t> </w:t>
      </w:r>
    </w:p>
    <w:p w14:paraId="1D2BA9E6" w14:textId="59453099" w:rsidR="25FBD9A6" w:rsidRDefault="25FBD9A6" w:rsidP="25FBD9A6">
      <w:pPr>
        <w:spacing w:before="0" w:after="0"/>
        <w:rPr>
          <w:rFonts w:eastAsia="Times New Roman" w:cs="Times New Roman"/>
          <w:color w:val="000000" w:themeColor="text1"/>
          <w:u w:val="single"/>
        </w:rPr>
      </w:pPr>
    </w:p>
    <w:p w14:paraId="29452050"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Pose Mechanism</w:t>
      </w:r>
      <w:r w:rsidRPr="00372592">
        <w:rPr>
          <w:rFonts w:eastAsia="Times New Roman" w:cs="Times New Roman"/>
          <w:color w:val="000000"/>
          <w:szCs w:val="24"/>
        </w:rPr>
        <w:t>: </w:t>
      </w:r>
    </w:p>
    <w:p w14:paraId="5BF56A9D" w14:textId="2195680F" w:rsidR="00372592" w:rsidRPr="00372592" w:rsidRDefault="00372592" w:rsidP="00372592">
      <w:pPr>
        <w:spacing w:before="0" w:after="0"/>
        <w:ind w:firstLine="720"/>
        <w:rPr>
          <w:rFonts w:eastAsia="Times New Roman" w:cs="Times New Roman"/>
          <w:szCs w:val="24"/>
        </w:rPr>
      </w:pPr>
      <w:r w:rsidRPr="678B693E">
        <w:rPr>
          <w:rFonts w:eastAsia="Times New Roman" w:cs="Times New Roman"/>
          <w:color w:val="000000" w:themeColor="text1"/>
        </w:rPr>
        <w:t xml:space="preserve">Based on the integrated data and performance of the model during prediction testing, the researcher will pose a mechanism that explains how the contributions of the various biogeochemical factors give rise to the target phenotype. Within our system, although we have not as yet performed experiments, we could postulate that nitrate contamination is driving the low </w:t>
      </w:r>
      <w:proofErr w:type="spellStart"/>
      <w:r w:rsidRPr="678B693E">
        <w:rPr>
          <w:rFonts w:eastAsia="Times New Roman" w:cs="Times New Roman"/>
          <w:color w:val="000000" w:themeColor="text1"/>
        </w:rPr>
        <w:t>pH.</w:t>
      </w:r>
      <w:proofErr w:type="spellEnd"/>
      <w:r w:rsidRPr="678B693E">
        <w:rPr>
          <w:rFonts w:eastAsia="Times New Roman" w:cs="Times New Roman"/>
          <w:color w:val="000000" w:themeColor="text1"/>
        </w:rPr>
        <w:t xml:space="preserve"> The low pH is reducing the bioavailability of metals that are key denitrification enzyme cofactors and also inhibiting microbial growth, thereby decreasing N</w:t>
      </w:r>
      <w:r w:rsidRPr="678B693E">
        <w:rPr>
          <w:rFonts w:eastAsia="Times New Roman" w:cs="Times New Roman"/>
          <w:color w:val="000000" w:themeColor="text1"/>
          <w:sz w:val="14"/>
          <w:szCs w:val="14"/>
          <w:vertAlign w:val="subscript"/>
        </w:rPr>
        <w:t>2</w:t>
      </w:r>
      <w:r w:rsidRPr="678B693E">
        <w:rPr>
          <w:rFonts w:eastAsia="Times New Roman" w:cs="Times New Roman"/>
          <w:color w:val="000000" w:themeColor="text1"/>
        </w:rPr>
        <w:t>O off-gassing. We could predict that if the pH is raised above 6, then the amount of N</w:t>
      </w:r>
      <w:r w:rsidRPr="678B693E">
        <w:rPr>
          <w:rFonts w:eastAsia="Times New Roman" w:cs="Times New Roman"/>
          <w:color w:val="000000" w:themeColor="text1"/>
          <w:sz w:val="14"/>
          <w:szCs w:val="14"/>
          <w:vertAlign w:val="subscript"/>
        </w:rPr>
        <w:t>2</w:t>
      </w:r>
      <w:r w:rsidRPr="678B693E">
        <w:rPr>
          <w:rFonts w:eastAsia="Times New Roman" w:cs="Times New Roman"/>
          <w:color w:val="000000" w:themeColor="text1"/>
        </w:rPr>
        <w:t>O off-gassing would dramatically increase from the relief of the multi-factorial growth and respiration inhibition. </w:t>
      </w:r>
    </w:p>
    <w:p w14:paraId="79D7CAF5" w14:textId="476101AB" w:rsidR="678B693E" w:rsidRDefault="678B693E" w:rsidP="678B693E">
      <w:pPr>
        <w:spacing w:before="0" w:after="0"/>
        <w:rPr>
          <w:rFonts w:eastAsia="Times New Roman" w:cs="Times New Roman"/>
          <w:color w:val="000000" w:themeColor="text1"/>
          <w:u w:val="single"/>
        </w:rPr>
      </w:pPr>
    </w:p>
    <w:p w14:paraId="7107E2CC"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Test Mechanism</w:t>
      </w:r>
      <w:r w:rsidRPr="00372592">
        <w:rPr>
          <w:rFonts w:eastAsia="Times New Roman" w:cs="Times New Roman"/>
          <w:color w:val="000000"/>
          <w:szCs w:val="24"/>
        </w:rPr>
        <w:t>: </w:t>
      </w:r>
    </w:p>
    <w:p w14:paraId="56949D2D" w14:textId="19991A5F" w:rsidR="00372592" w:rsidRPr="00372592" w:rsidRDefault="00372592" w:rsidP="00372592">
      <w:pPr>
        <w:spacing w:before="0" w:after="0"/>
        <w:ind w:firstLine="720"/>
        <w:rPr>
          <w:rFonts w:eastAsia="Times New Roman" w:cs="Times New Roman"/>
          <w:szCs w:val="24"/>
        </w:rPr>
      </w:pPr>
      <w:r w:rsidRPr="678B693E">
        <w:rPr>
          <w:rFonts w:eastAsia="Times New Roman" w:cs="Times New Roman"/>
          <w:color w:val="000000" w:themeColor="text1"/>
        </w:rPr>
        <w:t>The mechanism should be tested by performing an experiment from Step 2 where the conditions of the experiment are modulated according to the mechanism and the change, and amount and rate of change are predicted within a desired level of resolution. For this example, the synthetic community in Experiment 4 should be perturbed based on the model predictions and the amount of N</w:t>
      </w:r>
      <w:r w:rsidRPr="678B693E">
        <w:rPr>
          <w:rFonts w:eastAsia="Times New Roman" w:cs="Times New Roman"/>
          <w:color w:val="000000" w:themeColor="text1"/>
          <w:sz w:val="14"/>
          <w:szCs w:val="14"/>
          <w:vertAlign w:val="subscript"/>
        </w:rPr>
        <w:t>2</w:t>
      </w:r>
      <w:r w:rsidRPr="678B693E">
        <w:rPr>
          <w:rFonts w:eastAsia="Times New Roman" w:cs="Times New Roman"/>
          <w:color w:val="000000" w:themeColor="text1"/>
        </w:rPr>
        <w:t>O produced should be compared. If, however, the prediction is not accurate or other processes need to be included, then the researcher iterates on the process. </w:t>
      </w:r>
    </w:p>
    <w:p w14:paraId="75227F4D" w14:textId="1E3D6D28" w:rsidR="678B693E" w:rsidRDefault="678B693E" w:rsidP="678B693E">
      <w:pPr>
        <w:spacing w:before="0" w:after="0"/>
        <w:rPr>
          <w:rFonts w:eastAsia="Times New Roman" w:cs="Times New Roman"/>
          <w:color w:val="000000" w:themeColor="text1"/>
          <w:u w:val="single"/>
        </w:rPr>
      </w:pPr>
    </w:p>
    <w:p w14:paraId="1E5EA4EF"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Iterate to refine mechanism and model</w:t>
      </w:r>
      <w:r w:rsidRPr="00372592">
        <w:rPr>
          <w:rFonts w:eastAsia="Times New Roman" w:cs="Times New Roman"/>
          <w:color w:val="000000"/>
          <w:szCs w:val="24"/>
        </w:rPr>
        <w:t>: </w:t>
      </w:r>
    </w:p>
    <w:p w14:paraId="2FEA39A5" w14:textId="7BC5CE1A"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We expect that it will require more than one experimental cycle to sufficiently refine the model of nitrous oxide off-gassing for the ORR subsurface because it is a complex and hydrodynamically active environment. The mechanism and model we would generate from this first round of the experimental cycle would inform us about the process in one compartment with one community with a particular set of conditions. It might be necessary to understand the behavior in other compartments and the connections between the compartments to accurately predict the amount and rate of N</w:t>
      </w:r>
      <w:r w:rsidRPr="00372592">
        <w:rPr>
          <w:rFonts w:eastAsia="Times New Roman" w:cs="Times New Roman"/>
          <w:color w:val="000000"/>
          <w:sz w:val="14"/>
          <w:szCs w:val="14"/>
          <w:vertAlign w:val="subscript"/>
        </w:rPr>
        <w:t>2</w:t>
      </w:r>
      <w:r w:rsidRPr="00372592">
        <w:rPr>
          <w:rFonts w:eastAsia="Times New Roman" w:cs="Times New Roman"/>
          <w:color w:val="000000"/>
          <w:szCs w:val="24"/>
        </w:rPr>
        <w:t>O off-gassing from the ORR site as a whole. This can be achieved by going back to any of the previous steps or proposing new experiments as necessary within the confines of the FICSME, including adding experiments and data types that address previously unselected terms. In this way parameters will accumulate from each cycle until sufficient model prediction resolution is obtained. </w:t>
      </w:r>
    </w:p>
    <w:p w14:paraId="47B23A18" w14:textId="77777777" w:rsidR="00372592" w:rsidRPr="00372592" w:rsidRDefault="00372592" w:rsidP="00372592">
      <w:pPr>
        <w:spacing w:before="0" w:after="0"/>
        <w:rPr>
          <w:rFonts w:eastAsia="Times New Roman" w:cs="Times New Roman"/>
          <w:szCs w:val="24"/>
        </w:rPr>
      </w:pPr>
    </w:p>
    <w:p w14:paraId="1B6B8BAE" w14:textId="77777777" w:rsidR="00372592" w:rsidRPr="00372592" w:rsidRDefault="00372592" w:rsidP="00372592">
      <w:pPr>
        <w:spacing w:before="0" w:after="0"/>
        <w:rPr>
          <w:rFonts w:eastAsia="Times New Roman" w:cs="Times New Roman"/>
        </w:rPr>
      </w:pPr>
      <w:r w:rsidRPr="00A737C5">
        <w:rPr>
          <w:rFonts w:eastAsia="Times New Roman" w:cs="Times New Roman"/>
          <w:b/>
          <w:color w:val="000000" w:themeColor="text1"/>
          <w:sz w:val="28"/>
          <w:szCs w:val="28"/>
        </w:rPr>
        <w:t>Step 5:</w:t>
      </w:r>
      <w:r w:rsidRPr="25FBD9A6">
        <w:rPr>
          <w:rFonts w:eastAsia="Times New Roman" w:cs="Times New Roman"/>
          <w:b/>
          <w:color w:val="000000" w:themeColor="text1"/>
        </w:rPr>
        <w:t> </w:t>
      </w:r>
    </w:p>
    <w:p w14:paraId="3F196A44" w14:textId="5F6D42A9" w:rsidR="25FBD9A6" w:rsidRDefault="25FBD9A6" w:rsidP="25FBD9A6">
      <w:pPr>
        <w:spacing w:before="0" w:after="0"/>
        <w:rPr>
          <w:rFonts w:eastAsia="Times New Roman" w:cs="Times New Roman"/>
          <w:color w:val="000000" w:themeColor="text1"/>
          <w:u w:val="single"/>
        </w:rPr>
      </w:pPr>
    </w:p>
    <w:p w14:paraId="07DA4757" w14:textId="77777777" w:rsidR="00372592" w:rsidRPr="00372592" w:rsidRDefault="00372592" w:rsidP="00372592">
      <w:pPr>
        <w:spacing w:before="0" w:after="0"/>
        <w:rPr>
          <w:rFonts w:eastAsia="Times New Roman" w:cs="Times New Roman"/>
          <w:szCs w:val="24"/>
        </w:rPr>
      </w:pPr>
      <w:r w:rsidRPr="00372592">
        <w:rPr>
          <w:rFonts w:eastAsia="Times New Roman" w:cs="Times New Roman"/>
          <w:color w:val="000000"/>
          <w:szCs w:val="24"/>
          <w:u w:val="single"/>
        </w:rPr>
        <w:t>Achieve Outcome</w:t>
      </w:r>
      <w:r w:rsidRPr="00372592">
        <w:rPr>
          <w:rFonts w:eastAsia="Times New Roman" w:cs="Times New Roman"/>
          <w:color w:val="000000"/>
          <w:szCs w:val="24"/>
        </w:rPr>
        <w:t>: </w:t>
      </w:r>
    </w:p>
    <w:p w14:paraId="5BEF7FC3" w14:textId="77777777" w:rsidR="00372592" w:rsidRPr="00372592" w:rsidRDefault="00372592" w:rsidP="00372592">
      <w:pPr>
        <w:spacing w:before="0" w:after="0"/>
        <w:ind w:firstLine="720"/>
        <w:rPr>
          <w:rFonts w:eastAsia="Times New Roman" w:cs="Times New Roman"/>
          <w:szCs w:val="24"/>
        </w:rPr>
      </w:pPr>
      <w:r w:rsidRPr="00372592">
        <w:rPr>
          <w:rFonts w:eastAsia="Times New Roman" w:cs="Times New Roman"/>
          <w:color w:val="000000"/>
          <w:szCs w:val="24"/>
        </w:rPr>
        <w:t xml:space="preserve">Once the mechanism accurately predicts the system well-enough, then the researcher can stop, if their desired outcome is knowledge of the system, or use the quantitative results from the FICSME workflow to intervene in the system to induce the outcome that solves the initial problem. In this example of nitrous oxide off-gassing, the outcome would be for the researcher to control </w:t>
      </w:r>
      <w:r w:rsidRPr="00372592">
        <w:rPr>
          <w:rFonts w:eastAsia="Times New Roman" w:cs="Times New Roman"/>
          <w:i/>
          <w:iCs/>
          <w:color w:val="000000"/>
          <w:szCs w:val="24"/>
        </w:rPr>
        <w:t>in situ</w:t>
      </w:r>
      <w:r w:rsidRPr="00372592">
        <w:rPr>
          <w:rFonts w:eastAsia="Times New Roman" w:cs="Times New Roman"/>
          <w:color w:val="000000"/>
          <w:szCs w:val="24"/>
        </w:rPr>
        <w:t xml:space="preserve"> the metabolism of the microbial community to prevent or reduce the efflux of the potent greenhouse gas, nitrous oxide.  </w:t>
      </w:r>
    </w:p>
    <w:p w14:paraId="5A1CB1CA" w14:textId="31D3BA2C" w:rsidR="001E76F7" w:rsidRPr="001E76F7" w:rsidRDefault="001E76F7" w:rsidP="001E76F7">
      <w:pPr>
        <w:spacing w:before="0" w:after="0"/>
        <w:ind w:firstLine="720"/>
        <w:rPr>
          <w:rFonts w:eastAsia="Times New Roman" w:cs="Times New Roman"/>
          <w:szCs w:val="24"/>
        </w:rPr>
      </w:pPr>
    </w:p>
    <w:p w14:paraId="546FBE4C" w14:textId="77777777" w:rsidR="00A84E3D" w:rsidRDefault="00A84E3D" w:rsidP="008F28B2">
      <w:pPr>
        <w:widowControl w:val="0"/>
        <w:pBdr>
          <w:top w:val="nil"/>
          <w:left w:val="nil"/>
          <w:bottom w:val="nil"/>
          <w:right w:val="nil"/>
          <w:between w:val="nil"/>
        </w:pBdr>
        <w:spacing w:after="0" w:line="276" w:lineRule="auto"/>
        <w:rPr>
          <w:rFonts w:ascii="Arial" w:eastAsia="Arial" w:hAnsi="Arial" w:cs="Arial"/>
        </w:rPr>
      </w:pPr>
    </w:p>
    <w:sectPr w:rsidR="00A84E3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1B736" w14:textId="77777777" w:rsidR="00482BE4" w:rsidRDefault="00482BE4" w:rsidP="00117666">
      <w:pPr>
        <w:spacing w:after="0"/>
      </w:pPr>
      <w:r>
        <w:separator/>
      </w:r>
    </w:p>
  </w:endnote>
  <w:endnote w:type="continuationSeparator" w:id="0">
    <w:p w14:paraId="7FB82B7F" w14:textId="77777777" w:rsidR="00482BE4" w:rsidRDefault="00482BE4" w:rsidP="00117666">
      <w:pPr>
        <w:spacing w:after="0"/>
      </w:pPr>
      <w:r>
        <w:continuationSeparator/>
      </w:r>
    </w:p>
  </w:endnote>
  <w:endnote w:type="continuationNotice" w:id="1">
    <w:p w14:paraId="089F24E0" w14:textId="77777777" w:rsidR="00482BE4" w:rsidRDefault="00482BE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1D17B6" w:rsidRPr="00577C4C" w:rsidRDefault="00C52A7B">
    <w:pPr>
      <w:rPr>
        <w:color w:val="C00000"/>
        <w:szCs w:val="24"/>
      </w:rPr>
    </w:pPr>
    <w:r>
      <w:rPr>
        <w:noProof/>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5CE2F03" w:rsidR="001D17B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C">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5CE2F03" w:rsidR="001D17B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1D17B6" w:rsidRPr="00577C4C" w:rsidRDefault="00C52A7B">
    <w:pPr>
      <w:rPr>
        <w:b/>
        <w:sz w:val="20"/>
        <w:szCs w:val="24"/>
      </w:rPr>
    </w:pPr>
    <w:r>
      <w:rPr>
        <w:noProof/>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C417033" w:rsidR="001D17B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C417033" w:rsidR="001D17B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466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5DF34" w14:textId="77777777" w:rsidR="00482BE4" w:rsidRDefault="00482BE4" w:rsidP="00117666">
      <w:pPr>
        <w:spacing w:after="0"/>
      </w:pPr>
      <w:r>
        <w:separator/>
      </w:r>
    </w:p>
  </w:footnote>
  <w:footnote w:type="continuationSeparator" w:id="0">
    <w:p w14:paraId="7B7CBCC6" w14:textId="77777777" w:rsidR="00482BE4" w:rsidRDefault="00482BE4" w:rsidP="00117666">
      <w:pPr>
        <w:spacing w:after="0"/>
      </w:pPr>
      <w:r>
        <w:continuationSeparator/>
      </w:r>
    </w:p>
  </w:footnote>
  <w:footnote w:type="continuationNotice" w:id="1">
    <w:p w14:paraId="20C74BA7" w14:textId="77777777" w:rsidR="00482BE4" w:rsidRDefault="00482BE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1D17B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1D17B6"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A0492"/>
    <w:multiLevelType w:val="multilevel"/>
    <w:tmpl w:val="2504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6414311"/>
    <w:multiLevelType w:val="multilevel"/>
    <w:tmpl w:val="3E2C6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E52C09"/>
    <w:multiLevelType w:val="multilevel"/>
    <w:tmpl w:val="27DC7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D27152"/>
    <w:multiLevelType w:val="multilevel"/>
    <w:tmpl w:val="2B4A2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CF7B3A"/>
    <w:multiLevelType w:val="multilevel"/>
    <w:tmpl w:val="78503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9419C9"/>
    <w:multiLevelType w:val="multilevel"/>
    <w:tmpl w:val="D4E4C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9"/>
  </w:num>
  <w:num w:numId="3">
    <w:abstractNumId w:val="1"/>
  </w:num>
  <w:num w:numId="4">
    <w:abstractNumId w:val="1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7"/>
  </w:num>
  <w:num w:numId="21">
    <w:abstractNumId w:val="2"/>
  </w:num>
  <w:num w:numId="22">
    <w:abstractNumId w:val="8"/>
  </w:num>
  <w:num w:numId="23">
    <w:abstractNumId w:val="6"/>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150F7"/>
    <w:rsid w:val="00034304"/>
    <w:rsid w:val="00035434"/>
    <w:rsid w:val="00052A14"/>
    <w:rsid w:val="00077D53"/>
    <w:rsid w:val="00087241"/>
    <w:rsid w:val="000B074D"/>
    <w:rsid w:val="000B7C92"/>
    <w:rsid w:val="000D19E6"/>
    <w:rsid w:val="00105FD9"/>
    <w:rsid w:val="00117666"/>
    <w:rsid w:val="00137A8D"/>
    <w:rsid w:val="00151E81"/>
    <w:rsid w:val="001549D3"/>
    <w:rsid w:val="00160065"/>
    <w:rsid w:val="00162FF0"/>
    <w:rsid w:val="0016311D"/>
    <w:rsid w:val="00177D84"/>
    <w:rsid w:val="001C2CCE"/>
    <w:rsid w:val="001D17B6"/>
    <w:rsid w:val="001E76F7"/>
    <w:rsid w:val="001F32E3"/>
    <w:rsid w:val="00207525"/>
    <w:rsid w:val="00261AB5"/>
    <w:rsid w:val="00267D18"/>
    <w:rsid w:val="00274347"/>
    <w:rsid w:val="002868E2"/>
    <w:rsid w:val="002869C3"/>
    <w:rsid w:val="002936E4"/>
    <w:rsid w:val="002A3725"/>
    <w:rsid w:val="002B4A57"/>
    <w:rsid w:val="002C3432"/>
    <w:rsid w:val="002C74CA"/>
    <w:rsid w:val="002E3C13"/>
    <w:rsid w:val="003123F4"/>
    <w:rsid w:val="00325349"/>
    <w:rsid w:val="00344DFC"/>
    <w:rsid w:val="003539DC"/>
    <w:rsid w:val="003544FB"/>
    <w:rsid w:val="00372592"/>
    <w:rsid w:val="0038548E"/>
    <w:rsid w:val="00386BA9"/>
    <w:rsid w:val="00390C00"/>
    <w:rsid w:val="003D10E5"/>
    <w:rsid w:val="003D2F2D"/>
    <w:rsid w:val="00400DC0"/>
    <w:rsid w:val="00401590"/>
    <w:rsid w:val="0040788C"/>
    <w:rsid w:val="00436A34"/>
    <w:rsid w:val="00436DC8"/>
    <w:rsid w:val="00447801"/>
    <w:rsid w:val="00452E9C"/>
    <w:rsid w:val="004735C8"/>
    <w:rsid w:val="00482BE4"/>
    <w:rsid w:val="004902B7"/>
    <w:rsid w:val="004947A6"/>
    <w:rsid w:val="004961FF"/>
    <w:rsid w:val="004B1C05"/>
    <w:rsid w:val="004B6801"/>
    <w:rsid w:val="00517A89"/>
    <w:rsid w:val="005250F2"/>
    <w:rsid w:val="00593EEA"/>
    <w:rsid w:val="005A5EEE"/>
    <w:rsid w:val="005B0E8B"/>
    <w:rsid w:val="005E7396"/>
    <w:rsid w:val="00605D29"/>
    <w:rsid w:val="006106AF"/>
    <w:rsid w:val="0062377A"/>
    <w:rsid w:val="00635DD8"/>
    <w:rsid w:val="006375C7"/>
    <w:rsid w:val="00654E8F"/>
    <w:rsid w:val="00660D05"/>
    <w:rsid w:val="006653B6"/>
    <w:rsid w:val="006820B1"/>
    <w:rsid w:val="006A18BA"/>
    <w:rsid w:val="006B7D14"/>
    <w:rsid w:val="006D448C"/>
    <w:rsid w:val="006D7337"/>
    <w:rsid w:val="00701727"/>
    <w:rsid w:val="0070566C"/>
    <w:rsid w:val="00714C50"/>
    <w:rsid w:val="00725A7D"/>
    <w:rsid w:val="007501BE"/>
    <w:rsid w:val="00790BB3"/>
    <w:rsid w:val="007C206C"/>
    <w:rsid w:val="00810665"/>
    <w:rsid w:val="008123EA"/>
    <w:rsid w:val="00817DD6"/>
    <w:rsid w:val="0083759F"/>
    <w:rsid w:val="00844BCB"/>
    <w:rsid w:val="00871AD8"/>
    <w:rsid w:val="00885156"/>
    <w:rsid w:val="008B33F6"/>
    <w:rsid w:val="008C1D1A"/>
    <w:rsid w:val="008E2E9C"/>
    <w:rsid w:val="008E419B"/>
    <w:rsid w:val="008F28B2"/>
    <w:rsid w:val="008F360A"/>
    <w:rsid w:val="008F557C"/>
    <w:rsid w:val="008F658C"/>
    <w:rsid w:val="009151AA"/>
    <w:rsid w:val="00916B6E"/>
    <w:rsid w:val="00917800"/>
    <w:rsid w:val="0092548E"/>
    <w:rsid w:val="0092DF5B"/>
    <w:rsid w:val="0093429D"/>
    <w:rsid w:val="009367B8"/>
    <w:rsid w:val="0094042B"/>
    <w:rsid w:val="00943573"/>
    <w:rsid w:val="00964134"/>
    <w:rsid w:val="0096595D"/>
    <w:rsid w:val="00970F7D"/>
    <w:rsid w:val="00986854"/>
    <w:rsid w:val="00994A3D"/>
    <w:rsid w:val="009A466C"/>
    <w:rsid w:val="009C2B12"/>
    <w:rsid w:val="009C4231"/>
    <w:rsid w:val="00A104D8"/>
    <w:rsid w:val="00A1597E"/>
    <w:rsid w:val="00A174D9"/>
    <w:rsid w:val="00A55165"/>
    <w:rsid w:val="00A73494"/>
    <w:rsid w:val="00A737C5"/>
    <w:rsid w:val="00A75F2F"/>
    <w:rsid w:val="00A84E3D"/>
    <w:rsid w:val="00AA4D24"/>
    <w:rsid w:val="00AB6715"/>
    <w:rsid w:val="00B1671E"/>
    <w:rsid w:val="00B241CD"/>
    <w:rsid w:val="00B25EB8"/>
    <w:rsid w:val="00B37F4D"/>
    <w:rsid w:val="00B40E82"/>
    <w:rsid w:val="00B704D7"/>
    <w:rsid w:val="00B87934"/>
    <w:rsid w:val="00B91BCC"/>
    <w:rsid w:val="00BF07EB"/>
    <w:rsid w:val="00C515D8"/>
    <w:rsid w:val="00C52A7B"/>
    <w:rsid w:val="00C56BAF"/>
    <w:rsid w:val="00C679AA"/>
    <w:rsid w:val="00C75972"/>
    <w:rsid w:val="00C91005"/>
    <w:rsid w:val="00CB98FB"/>
    <w:rsid w:val="00CC5467"/>
    <w:rsid w:val="00CD066B"/>
    <w:rsid w:val="00CD44D2"/>
    <w:rsid w:val="00CE4FEE"/>
    <w:rsid w:val="00CF147E"/>
    <w:rsid w:val="00D060CF"/>
    <w:rsid w:val="00D17953"/>
    <w:rsid w:val="00D228DE"/>
    <w:rsid w:val="00D265C1"/>
    <w:rsid w:val="00D46288"/>
    <w:rsid w:val="00D7426F"/>
    <w:rsid w:val="00D84CDD"/>
    <w:rsid w:val="00DA1890"/>
    <w:rsid w:val="00DA4CE6"/>
    <w:rsid w:val="00DA66A6"/>
    <w:rsid w:val="00DB59C3"/>
    <w:rsid w:val="00DB6019"/>
    <w:rsid w:val="00DC259A"/>
    <w:rsid w:val="00DE23E8"/>
    <w:rsid w:val="00E52377"/>
    <w:rsid w:val="00E537AD"/>
    <w:rsid w:val="00E64E17"/>
    <w:rsid w:val="00E866C9"/>
    <w:rsid w:val="00EA00A2"/>
    <w:rsid w:val="00EA3D3C"/>
    <w:rsid w:val="00EC090A"/>
    <w:rsid w:val="00EC42A8"/>
    <w:rsid w:val="00ED20B5"/>
    <w:rsid w:val="00F22505"/>
    <w:rsid w:val="00F46900"/>
    <w:rsid w:val="00F61D89"/>
    <w:rsid w:val="00F64149"/>
    <w:rsid w:val="00F67006"/>
    <w:rsid w:val="00FC3AB6"/>
    <w:rsid w:val="00FF35A7"/>
    <w:rsid w:val="00FF55A0"/>
    <w:rsid w:val="025D44CC"/>
    <w:rsid w:val="069AEC6D"/>
    <w:rsid w:val="07D881D7"/>
    <w:rsid w:val="08595491"/>
    <w:rsid w:val="09351D06"/>
    <w:rsid w:val="0A256D37"/>
    <w:rsid w:val="0AFF2948"/>
    <w:rsid w:val="120F1CD2"/>
    <w:rsid w:val="12F52CDA"/>
    <w:rsid w:val="1347D881"/>
    <w:rsid w:val="16088B2C"/>
    <w:rsid w:val="1698D843"/>
    <w:rsid w:val="18B087AF"/>
    <w:rsid w:val="1E9A4082"/>
    <w:rsid w:val="1FEA2BF1"/>
    <w:rsid w:val="1FF0F51F"/>
    <w:rsid w:val="2306DD14"/>
    <w:rsid w:val="23948B6D"/>
    <w:rsid w:val="241421EA"/>
    <w:rsid w:val="25CF4DE2"/>
    <w:rsid w:val="25FBD9A6"/>
    <w:rsid w:val="2636B800"/>
    <w:rsid w:val="2668ADDF"/>
    <w:rsid w:val="27D4FDCF"/>
    <w:rsid w:val="2917F784"/>
    <w:rsid w:val="29BA401D"/>
    <w:rsid w:val="2A621BB5"/>
    <w:rsid w:val="2B356396"/>
    <w:rsid w:val="2DF58A22"/>
    <w:rsid w:val="2F4C535C"/>
    <w:rsid w:val="308575DE"/>
    <w:rsid w:val="33BD16A0"/>
    <w:rsid w:val="3487F1C1"/>
    <w:rsid w:val="35423FA5"/>
    <w:rsid w:val="36AAD53B"/>
    <w:rsid w:val="36EC9806"/>
    <w:rsid w:val="391D1C68"/>
    <w:rsid w:val="39C0ADF2"/>
    <w:rsid w:val="3B857F21"/>
    <w:rsid w:val="3C09B143"/>
    <w:rsid w:val="3CF84EB4"/>
    <w:rsid w:val="3DC7517D"/>
    <w:rsid w:val="3E3D4B5D"/>
    <w:rsid w:val="3E929A33"/>
    <w:rsid w:val="41CBBFD7"/>
    <w:rsid w:val="42DF45A1"/>
    <w:rsid w:val="4732C638"/>
    <w:rsid w:val="4768D49D"/>
    <w:rsid w:val="4AE87070"/>
    <w:rsid w:val="4B5979C0"/>
    <w:rsid w:val="4C572277"/>
    <w:rsid w:val="4E26D711"/>
    <w:rsid w:val="4F816A29"/>
    <w:rsid w:val="503C6F02"/>
    <w:rsid w:val="5657A9CF"/>
    <w:rsid w:val="5723BC65"/>
    <w:rsid w:val="5742831D"/>
    <w:rsid w:val="58A8F110"/>
    <w:rsid w:val="5A0F060C"/>
    <w:rsid w:val="5A4111E8"/>
    <w:rsid w:val="5B968DC4"/>
    <w:rsid w:val="5C26FD41"/>
    <w:rsid w:val="5D5DBDEA"/>
    <w:rsid w:val="5DB1C4A1"/>
    <w:rsid w:val="5F83ECDF"/>
    <w:rsid w:val="61BE619E"/>
    <w:rsid w:val="62007543"/>
    <w:rsid w:val="62666F0C"/>
    <w:rsid w:val="6687EDF8"/>
    <w:rsid w:val="678B693E"/>
    <w:rsid w:val="68EC57EC"/>
    <w:rsid w:val="6A7679EC"/>
    <w:rsid w:val="6A84B306"/>
    <w:rsid w:val="6AC509E8"/>
    <w:rsid w:val="6BB8848F"/>
    <w:rsid w:val="6BBC8E6F"/>
    <w:rsid w:val="6CBD4C46"/>
    <w:rsid w:val="6D183263"/>
    <w:rsid w:val="6D6D473A"/>
    <w:rsid w:val="6D8C3920"/>
    <w:rsid w:val="706392EA"/>
    <w:rsid w:val="7071BB6C"/>
    <w:rsid w:val="709CB96E"/>
    <w:rsid w:val="72A04B21"/>
    <w:rsid w:val="738D88EA"/>
    <w:rsid w:val="75777D5B"/>
    <w:rsid w:val="7778BD6B"/>
    <w:rsid w:val="78DCFAE7"/>
    <w:rsid w:val="79148DCC"/>
    <w:rsid w:val="793789DF"/>
    <w:rsid w:val="7A10701B"/>
    <w:rsid w:val="7BDC62CE"/>
    <w:rsid w:val="7CE099EF"/>
    <w:rsid w:val="7D998553"/>
    <w:rsid w:val="7F3558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05266D4D-5DB7-4A43-BB7D-F345A05D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0979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2996313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826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7F396BDDD77E4CA4B15151B71A780F" ma:contentTypeVersion="13" ma:contentTypeDescription="Create a new document." ma:contentTypeScope="" ma:versionID="89a1c4ca3ced4c2f6435452206221e2a">
  <xsd:schema xmlns:xsd="http://www.w3.org/2001/XMLSchema" xmlns:xs="http://www.w3.org/2001/XMLSchema" xmlns:p="http://schemas.microsoft.com/office/2006/metadata/properties" xmlns:ns3="1a7f04e3-3d64-45cf-856e-e24e56fb559a" xmlns:ns4="e37c2eb3-a2c1-4791-8eed-4fc0dbbd238b" targetNamespace="http://schemas.microsoft.com/office/2006/metadata/properties" ma:root="true" ma:fieldsID="748d8e691b92c8665ed8246f4d872360" ns3:_="" ns4:_="">
    <xsd:import namespace="1a7f04e3-3d64-45cf-856e-e24e56fb559a"/>
    <xsd:import namespace="e37c2eb3-a2c1-4791-8eed-4fc0dbbd23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f04e3-3d64-45cf-856e-e24e56fb5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c2eb3-a2c1-4791-8eed-4fc0dbbd23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A302FD2-9D74-4659-86B8-2543F2EFCCB0}">
  <ds:schemaRefs>
    <ds:schemaRef ds:uri="http://schemas.microsoft.com/sharepoint/v3/contenttype/forms"/>
  </ds:schemaRefs>
</ds:datastoreItem>
</file>

<file path=customXml/itemProps2.xml><?xml version="1.0" encoding="utf-8"?>
<ds:datastoreItem xmlns:ds="http://schemas.openxmlformats.org/officeDocument/2006/customXml" ds:itemID="{E1E8FA96-4583-4795-A5DA-2ADF05AFF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123EE8-B0BB-43FA-A885-9311B50A3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f04e3-3d64-45cf-856e-e24e56fb559a"/>
    <ds:schemaRef ds:uri="e37c2eb3-a2c1-4791-8eed-4fc0dbbd2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208AB-265E-A942-90A7-3B284E81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11</Pages>
  <Words>4230</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Microsoft Office User</cp:lastModifiedBy>
  <cp:revision>3</cp:revision>
  <cp:lastPrinted>2020-12-16T01:08:00Z</cp:lastPrinted>
  <dcterms:created xsi:type="dcterms:W3CDTF">2021-03-11T02:41:00Z</dcterms:created>
  <dcterms:modified xsi:type="dcterms:W3CDTF">2021-03-11T02:46:00Z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0x0101001A7F396BDDD77E4CA4B15151B71A780F</vt:lpwstr>
  </property>
</Properties>
</file>